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F3E0B" w14:textId="24EE16A9" w:rsidR="00BC6D11" w:rsidRDefault="008A6A00" w:rsidP="00CE39F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u w:val="single"/>
        </w:rPr>
        <w:t xml:space="preserve">INDICADORES DA </w:t>
      </w:r>
      <w:r w:rsidR="00B653AE" w:rsidRPr="00CE39FC">
        <w:rPr>
          <w:b/>
          <w:bCs/>
          <w:sz w:val="32"/>
          <w:szCs w:val="32"/>
          <w:u w:val="single"/>
        </w:rPr>
        <w:t>CAPAG</w:t>
      </w:r>
      <w:r w:rsidR="002D56CA">
        <w:rPr>
          <w:b/>
          <w:bCs/>
          <w:sz w:val="32"/>
          <w:szCs w:val="32"/>
          <w:u w:val="single"/>
        </w:rPr>
        <w:t xml:space="preserve"> </w:t>
      </w:r>
      <w:r w:rsidR="002D56CA">
        <w:rPr>
          <w:b/>
          <w:bCs/>
          <w:sz w:val="24"/>
          <w:szCs w:val="24"/>
        </w:rPr>
        <w:t xml:space="preserve"> </w:t>
      </w:r>
    </w:p>
    <w:p w14:paraId="4F3B5769" w14:textId="0C27410E" w:rsidR="00A920FA" w:rsidRDefault="007061A6" w:rsidP="007061A6">
      <w:pPr>
        <w:rPr>
          <w:b/>
          <w:bCs/>
          <w:sz w:val="24"/>
          <w:szCs w:val="24"/>
        </w:rPr>
      </w:pPr>
      <w:r w:rsidRPr="00620A1F">
        <w:rPr>
          <w:b/>
          <w:bCs/>
          <w:sz w:val="24"/>
          <w:szCs w:val="24"/>
          <w:highlight w:val="magenta"/>
        </w:rPr>
        <w:t xml:space="preserve">As alterações na </w:t>
      </w:r>
      <w:r w:rsidRPr="00620A1F">
        <w:rPr>
          <w:b/>
          <w:bCs/>
          <w:sz w:val="24"/>
          <w:szCs w:val="24"/>
          <w:highlight w:val="magenta"/>
          <w:u w:val="single"/>
        </w:rPr>
        <w:t>Versão.</w:t>
      </w:r>
      <w:r w:rsidR="00211A96" w:rsidRPr="00620A1F">
        <w:rPr>
          <w:b/>
          <w:bCs/>
          <w:sz w:val="24"/>
          <w:szCs w:val="24"/>
          <w:highlight w:val="magenta"/>
          <w:u w:val="single"/>
        </w:rPr>
        <w:t>1</w:t>
      </w:r>
      <w:r w:rsidRPr="00620A1F">
        <w:rPr>
          <w:b/>
          <w:bCs/>
          <w:sz w:val="24"/>
          <w:szCs w:val="24"/>
          <w:highlight w:val="magenta"/>
        </w:rPr>
        <w:t xml:space="preserve"> da CAPAG </w:t>
      </w:r>
      <w:r w:rsidR="00211A96" w:rsidRPr="00620A1F">
        <w:rPr>
          <w:b/>
          <w:bCs/>
          <w:sz w:val="24"/>
          <w:szCs w:val="24"/>
          <w:highlight w:val="magenta"/>
        </w:rPr>
        <w:t>202</w:t>
      </w:r>
      <w:r w:rsidR="00D65921">
        <w:rPr>
          <w:b/>
          <w:bCs/>
          <w:sz w:val="24"/>
          <w:szCs w:val="24"/>
          <w:highlight w:val="magenta"/>
        </w:rPr>
        <w:t>5</w:t>
      </w:r>
      <w:r w:rsidR="00211A96" w:rsidRPr="00620A1F">
        <w:rPr>
          <w:b/>
          <w:bCs/>
          <w:sz w:val="24"/>
          <w:szCs w:val="24"/>
          <w:highlight w:val="magenta"/>
        </w:rPr>
        <w:t xml:space="preserve"> </w:t>
      </w:r>
      <w:r w:rsidRPr="00620A1F">
        <w:rPr>
          <w:b/>
          <w:bCs/>
          <w:sz w:val="24"/>
          <w:szCs w:val="24"/>
          <w:highlight w:val="magenta"/>
        </w:rPr>
        <w:t xml:space="preserve">estão marcadas </w:t>
      </w:r>
      <w:r w:rsidR="00C109BE" w:rsidRPr="00620A1F">
        <w:rPr>
          <w:b/>
          <w:bCs/>
          <w:sz w:val="24"/>
          <w:szCs w:val="24"/>
          <w:highlight w:val="magenta"/>
        </w:rPr>
        <w:t xml:space="preserve">na cor </w:t>
      </w:r>
      <w:r w:rsidR="00620A1F">
        <w:rPr>
          <w:b/>
          <w:bCs/>
          <w:sz w:val="24"/>
          <w:szCs w:val="24"/>
          <w:highlight w:val="magenta"/>
        </w:rPr>
        <w:t>rosa</w:t>
      </w:r>
      <w:r w:rsidR="00C109BE" w:rsidRPr="00620A1F">
        <w:rPr>
          <w:b/>
          <w:bCs/>
          <w:sz w:val="24"/>
          <w:szCs w:val="24"/>
          <w:highlight w:val="magenta"/>
        </w:rPr>
        <w:t>.</w:t>
      </w:r>
      <w:r w:rsidR="00EF5D56">
        <w:rPr>
          <w:b/>
          <w:bCs/>
          <w:sz w:val="24"/>
          <w:szCs w:val="24"/>
        </w:rPr>
        <w:t xml:space="preserve"> </w:t>
      </w:r>
      <w:r w:rsidR="001625DD">
        <w:rPr>
          <w:b/>
          <w:bCs/>
          <w:sz w:val="24"/>
          <w:szCs w:val="24"/>
        </w:rPr>
        <w:t xml:space="preserve"> </w:t>
      </w:r>
    </w:p>
    <w:p w14:paraId="2E5B13E6" w14:textId="7E1E8D28" w:rsidR="00EE129C" w:rsidRDefault="002A2B60" w:rsidP="00F11771">
      <w:pPr>
        <w:rPr>
          <w:sz w:val="20"/>
          <w:szCs w:val="20"/>
        </w:rPr>
      </w:pPr>
      <w:r w:rsidRPr="002A2B60">
        <w:rPr>
          <w:b/>
          <w:bCs/>
          <w:sz w:val="24"/>
          <w:szCs w:val="24"/>
          <w:highlight w:val="red"/>
        </w:rPr>
        <w:t xml:space="preserve">As alterações na </w:t>
      </w:r>
      <w:r w:rsidRPr="002A2B60">
        <w:rPr>
          <w:b/>
          <w:bCs/>
          <w:sz w:val="24"/>
          <w:szCs w:val="24"/>
          <w:highlight w:val="red"/>
          <w:u w:val="single"/>
        </w:rPr>
        <w:t>Versão.2</w:t>
      </w:r>
      <w:r w:rsidRPr="002A2B60">
        <w:rPr>
          <w:b/>
          <w:bCs/>
          <w:sz w:val="24"/>
          <w:szCs w:val="24"/>
          <w:highlight w:val="red"/>
        </w:rPr>
        <w:t xml:space="preserve"> da CAPAG 2025 estão marcadas na cor </w:t>
      </w:r>
      <w:r>
        <w:rPr>
          <w:b/>
          <w:bCs/>
          <w:sz w:val="24"/>
          <w:szCs w:val="24"/>
          <w:highlight w:val="red"/>
        </w:rPr>
        <w:t>vermelha</w:t>
      </w:r>
      <w:r w:rsidRPr="002A2B60">
        <w:rPr>
          <w:b/>
          <w:bCs/>
          <w:sz w:val="24"/>
          <w:szCs w:val="24"/>
          <w:highlight w:val="red"/>
        </w:rPr>
        <w:t>.</w:t>
      </w:r>
    </w:p>
    <w:p w14:paraId="53F15E01" w14:textId="77777777" w:rsidR="002A2B60" w:rsidRDefault="002A2B60" w:rsidP="00F11771">
      <w:pPr>
        <w:rPr>
          <w:sz w:val="20"/>
          <w:szCs w:val="20"/>
        </w:rPr>
      </w:pPr>
    </w:p>
    <w:p w14:paraId="50163A0F" w14:textId="283FB04C" w:rsidR="00900297" w:rsidRPr="009036A8" w:rsidRDefault="00F11771" w:rsidP="00F11771">
      <w:pPr>
        <w:rPr>
          <w:sz w:val="20"/>
          <w:szCs w:val="20"/>
        </w:rPr>
      </w:pPr>
      <w:r w:rsidRPr="00211A96">
        <w:rPr>
          <w:sz w:val="20"/>
          <w:szCs w:val="20"/>
        </w:rPr>
        <w:t>Calculados conforme</w:t>
      </w:r>
      <w:r w:rsidRPr="00211A96">
        <w:rPr>
          <w:b/>
          <w:bCs/>
          <w:sz w:val="20"/>
          <w:szCs w:val="20"/>
        </w:rPr>
        <w:t xml:space="preserve"> </w:t>
      </w:r>
      <w:hyperlink r:id="rId7" w:tgtFrame="_blank" w:history="1">
        <w:r w:rsidR="000C3DEC" w:rsidRPr="00211A96">
          <w:rPr>
            <w:b/>
            <w:bCs/>
            <w:sz w:val="20"/>
            <w:szCs w:val="20"/>
          </w:rPr>
          <w:t>Portaria Normativa MF nº 1.583, de 13 de dezembro de 2023</w:t>
        </w:r>
      </w:hyperlink>
      <w:r w:rsidR="009036A8">
        <w:rPr>
          <w:b/>
          <w:bCs/>
          <w:sz w:val="20"/>
          <w:szCs w:val="20"/>
        </w:rPr>
        <w:t>,</w:t>
      </w:r>
      <w:r w:rsidR="000C3DEC" w:rsidRPr="00211A96">
        <w:rPr>
          <w:rFonts w:ascii="Open Sans" w:hAnsi="Open Sans" w:cs="Open Sans"/>
          <w:sz w:val="21"/>
          <w:szCs w:val="21"/>
          <w:shd w:val="clear" w:color="auto" w:fill="FFFFFF"/>
        </w:rPr>
        <w:t xml:space="preserve"> </w:t>
      </w:r>
      <w:r w:rsidR="00B54CA2" w:rsidRPr="009036A8">
        <w:rPr>
          <w:sz w:val="20"/>
          <w:szCs w:val="20"/>
          <w:highlight w:val="magenta"/>
        </w:rPr>
        <w:t>altera</w:t>
      </w:r>
      <w:r w:rsidR="009036A8" w:rsidRPr="009036A8">
        <w:rPr>
          <w:sz w:val="20"/>
          <w:szCs w:val="20"/>
          <w:highlight w:val="magenta"/>
        </w:rPr>
        <w:t>da</w:t>
      </w:r>
      <w:r w:rsidR="00B54CA2" w:rsidRPr="009036A8">
        <w:rPr>
          <w:sz w:val="20"/>
          <w:szCs w:val="20"/>
          <w:highlight w:val="magenta"/>
        </w:rPr>
        <w:t xml:space="preserve"> pela </w:t>
      </w:r>
      <w:hyperlink r:id="rId8" w:tgtFrame="_blank" w:history="1">
        <w:r w:rsidR="00B54CA2" w:rsidRPr="009036A8">
          <w:rPr>
            <w:b/>
            <w:bCs/>
            <w:sz w:val="20"/>
            <w:szCs w:val="20"/>
            <w:highlight w:val="magenta"/>
          </w:rPr>
          <w:t>Portaria MF nº 1.764, de 6 de novembro de 2024</w:t>
        </w:r>
      </w:hyperlink>
      <w:r w:rsidR="009036A8" w:rsidRPr="009036A8">
        <w:rPr>
          <w:b/>
          <w:bCs/>
          <w:sz w:val="20"/>
          <w:szCs w:val="20"/>
          <w:highlight w:val="magenta"/>
        </w:rPr>
        <w:t>.</w:t>
      </w:r>
    </w:p>
    <w:p w14:paraId="1AA6EB52" w14:textId="07C539FC" w:rsidR="00441899" w:rsidRDefault="00E8608B" w:rsidP="00184C8A">
      <w:pPr>
        <w:jc w:val="both"/>
        <w:rPr>
          <w:sz w:val="20"/>
          <w:szCs w:val="20"/>
        </w:rPr>
      </w:pPr>
      <w:r>
        <w:rPr>
          <w:sz w:val="20"/>
          <w:szCs w:val="20"/>
          <w:highlight w:val="magenta"/>
        </w:rPr>
        <w:t>Observação:</w:t>
      </w:r>
      <w:r w:rsidR="002B2DF6" w:rsidRPr="00184C8A">
        <w:rPr>
          <w:sz w:val="20"/>
          <w:szCs w:val="20"/>
          <w:highlight w:val="magenta"/>
        </w:rPr>
        <w:t xml:space="preserve"> </w:t>
      </w:r>
      <w:r w:rsidR="009A2542" w:rsidRPr="00184C8A">
        <w:rPr>
          <w:sz w:val="20"/>
          <w:szCs w:val="20"/>
          <w:highlight w:val="magenta"/>
        </w:rPr>
        <w:t>Como o cálculo</w:t>
      </w:r>
      <w:r w:rsidR="008447E2" w:rsidRPr="00184C8A">
        <w:rPr>
          <w:sz w:val="20"/>
          <w:szCs w:val="20"/>
          <w:highlight w:val="magenta"/>
        </w:rPr>
        <w:t>, feito pelo TCEES,</w:t>
      </w:r>
      <w:r w:rsidR="009A2542" w:rsidRPr="00184C8A">
        <w:rPr>
          <w:sz w:val="20"/>
          <w:szCs w:val="20"/>
          <w:highlight w:val="magenta"/>
        </w:rPr>
        <w:t xml:space="preserve"> da Capacidade de </w:t>
      </w:r>
      <w:r w:rsidR="003853D7" w:rsidRPr="00184C8A">
        <w:rPr>
          <w:sz w:val="20"/>
          <w:szCs w:val="20"/>
          <w:highlight w:val="magenta"/>
        </w:rPr>
        <w:t>P</w:t>
      </w:r>
      <w:r w:rsidR="009A2542" w:rsidRPr="00184C8A">
        <w:rPr>
          <w:sz w:val="20"/>
          <w:szCs w:val="20"/>
          <w:highlight w:val="magenta"/>
        </w:rPr>
        <w:t xml:space="preserve">agamento (CAPAG) </w:t>
      </w:r>
      <w:r w:rsidR="008C52B2" w:rsidRPr="00184C8A">
        <w:rPr>
          <w:sz w:val="20"/>
          <w:szCs w:val="20"/>
          <w:highlight w:val="magenta"/>
        </w:rPr>
        <w:t>dos Municípios Capixabas</w:t>
      </w:r>
      <w:r w:rsidR="008447E2" w:rsidRPr="00184C8A">
        <w:rPr>
          <w:sz w:val="20"/>
          <w:szCs w:val="20"/>
          <w:highlight w:val="magenta"/>
        </w:rPr>
        <w:t xml:space="preserve">, </w:t>
      </w:r>
      <w:r w:rsidR="000907E6" w:rsidRPr="00184C8A">
        <w:rPr>
          <w:sz w:val="20"/>
          <w:szCs w:val="20"/>
          <w:highlight w:val="magenta"/>
        </w:rPr>
        <w:t>diferentemente da STN</w:t>
      </w:r>
      <w:r w:rsidR="001E6041" w:rsidRPr="00184C8A">
        <w:rPr>
          <w:sz w:val="20"/>
          <w:szCs w:val="20"/>
          <w:highlight w:val="magenta"/>
        </w:rPr>
        <w:t xml:space="preserve">, </w:t>
      </w:r>
      <w:r w:rsidR="003853D7" w:rsidRPr="00184C8A">
        <w:rPr>
          <w:sz w:val="20"/>
          <w:szCs w:val="20"/>
          <w:highlight w:val="magenta"/>
        </w:rPr>
        <w:t>é realizado</w:t>
      </w:r>
      <w:r w:rsidR="00DB77C8" w:rsidRPr="00184C8A">
        <w:rPr>
          <w:sz w:val="20"/>
          <w:szCs w:val="20"/>
          <w:highlight w:val="magenta"/>
        </w:rPr>
        <w:t xml:space="preserve"> mensalmente, </w:t>
      </w:r>
      <w:r w:rsidR="00274621" w:rsidRPr="00184C8A">
        <w:rPr>
          <w:sz w:val="20"/>
          <w:szCs w:val="20"/>
          <w:highlight w:val="magenta"/>
        </w:rPr>
        <w:t xml:space="preserve">foram </w:t>
      </w:r>
      <w:r w:rsidR="00BA5EF5" w:rsidRPr="00184C8A">
        <w:rPr>
          <w:sz w:val="20"/>
          <w:szCs w:val="20"/>
          <w:highlight w:val="magenta"/>
        </w:rPr>
        <w:t>necessários</w:t>
      </w:r>
      <w:r w:rsidR="00274621" w:rsidRPr="00184C8A">
        <w:rPr>
          <w:sz w:val="20"/>
          <w:szCs w:val="20"/>
          <w:highlight w:val="magenta"/>
        </w:rPr>
        <w:t xml:space="preserve"> realizar alguns ajustes na metodologia</w:t>
      </w:r>
      <w:r w:rsidR="0059668F" w:rsidRPr="00184C8A">
        <w:rPr>
          <w:sz w:val="20"/>
          <w:szCs w:val="20"/>
          <w:highlight w:val="magenta"/>
        </w:rPr>
        <w:t xml:space="preserve"> definida </w:t>
      </w:r>
      <w:r w:rsidR="008A4243" w:rsidRPr="00184C8A">
        <w:rPr>
          <w:sz w:val="20"/>
          <w:szCs w:val="20"/>
          <w:highlight w:val="magenta"/>
        </w:rPr>
        <w:t>nas Portarias acima mencionadas</w:t>
      </w:r>
      <w:r w:rsidR="00D314D1" w:rsidRPr="00184C8A">
        <w:rPr>
          <w:sz w:val="20"/>
          <w:szCs w:val="20"/>
          <w:highlight w:val="magenta"/>
        </w:rPr>
        <w:t>.</w:t>
      </w:r>
      <w:r w:rsidR="00BA5EF5" w:rsidRPr="00184C8A">
        <w:rPr>
          <w:sz w:val="20"/>
          <w:szCs w:val="20"/>
          <w:highlight w:val="magenta"/>
        </w:rPr>
        <w:t xml:space="preserve"> </w:t>
      </w:r>
      <w:r w:rsidR="00627395" w:rsidRPr="00184C8A">
        <w:rPr>
          <w:sz w:val="20"/>
          <w:szCs w:val="20"/>
          <w:highlight w:val="magenta"/>
        </w:rPr>
        <w:t xml:space="preserve">Vale ressaltar que </w:t>
      </w:r>
      <w:r w:rsidR="00E4243E" w:rsidRPr="00184C8A">
        <w:rPr>
          <w:sz w:val="20"/>
          <w:szCs w:val="20"/>
          <w:highlight w:val="magenta"/>
        </w:rPr>
        <w:t xml:space="preserve">no cálculo dos indicadores </w:t>
      </w:r>
      <w:r w:rsidR="0075482F" w:rsidRPr="00184C8A">
        <w:rPr>
          <w:sz w:val="20"/>
          <w:szCs w:val="20"/>
          <w:highlight w:val="magenta"/>
        </w:rPr>
        <w:t xml:space="preserve">são utilizados os </w:t>
      </w:r>
      <w:r w:rsidR="00AE6417">
        <w:rPr>
          <w:sz w:val="20"/>
          <w:szCs w:val="20"/>
          <w:highlight w:val="magenta"/>
        </w:rPr>
        <w:t>Balancetes da</w:t>
      </w:r>
      <w:r w:rsidR="00846947">
        <w:rPr>
          <w:sz w:val="20"/>
          <w:szCs w:val="20"/>
          <w:highlight w:val="magenta"/>
        </w:rPr>
        <w:t>s</w:t>
      </w:r>
      <w:r w:rsidR="00AE6417">
        <w:rPr>
          <w:sz w:val="20"/>
          <w:szCs w:val="20"/>
          <w:highlight w:val="magenta"/>
        </w:rPr>
        <w:t xml:space="preserve"> Receita</w:t>
      </w:r>
      <w:r w:rsidR="00846947">
        <w:rPr>
          <w:sz w:val="20"/>
          <w:szCs w:val="20"/>
          <w:highlight w:val="magenta"/>
        </w:rPr>
        <w:t>s</w:t>
      </w:r>
      <w:r w:rsidR="00AE6417">
        <w:rPr>
          <w:sz w:val="20"/>
          <w:szCs w:val="20"/>
          <w:highlight w:val="magenta"/>
        </w:rPr>
        <w:t xml:space="preserve"> e </w:t>
      </w:r>
      <w:r w:rsidR="00846947">
        <w:rPr>
          <w:sz w:val="20"/>
          <w:szCs w:val="20"/>
          <w:highlight w:val="magenta"/>
        </w:rPr>
        <w:t xml:space="preserve">Despesas Orçamentárias </w:t>
      </w:r>
      <w:r w:rsidR="00BF4957">
        <w:rPr>
          <w:sz w:val="20"/>
          <w:szCs w:val="20"/>
          <w:highlight w:val="magenta"/>
        </w:rPr>
        <w:t xml:space="preserve">e os </w:t>
      </w:r>
      <w:r w:rsidR="009F508E" w:rsidRPr="00184C8A">
        <w:rPr>
          <w:sz w:val="20"/>
          <w:szCs w:val="20"/>
          <w:highlight w:val="magenta"/>
        </w:rPr>
        <w:t>Demonstrativos</w:t>
      </w:r>
      <w:r w:rsidR="0075482F" w:rsidRPr="00184C8A">
        <w:rPr>
          <w:sz w:val="20"/>
          <w:szCs w:val="20"/>
          <w:highlight w:val="magenta"/>
        </w:rPr>
        <w:t xml:space="preserve"> Fiscais gerados pelo </w:t>
      </w:r>
      <w:proofErr w:type="spellStart"/>
      <w:r w:rsidR="0075482F" w:rsidRPr="00184C8A">
        <w:rPr>
          <w:sz w:val="20"/>
          <w:szCs w:val="20"/>
          <w:highlight w:val="magenta"/>
        </w:rPr>
        <w:t>Ci</w:t>
      </w:r>
      <w:r w:rsidR="009F508E" w:rsidRPr="00184C8A">
        <w:rPr>
          <w:sz w:val="20"/>
          <w:szCs w:val="20"/>
          <w:highlight w:val="magenta"/>
        </w:rPr>
        <w:t>dadES</w:t>
      </w:r>
      <w:proofErr w:type="spellEnd"/>
      <w:r w:rsidR="0015562D">
        <w:rPr>
          <w:sz w:val="20"/>
          <w:szCs w:val="20"/>
          <w:highlight w:val="magenta"/>
        </w:rPr>
        <w:t xml:space="preserve">, sendo que </w:t>
      </w:r>
      <w:r w:rsidR="004529E5" w:rsidRPr="00184C8A">
        <w:rPr>
          <w:sz w:val="20"/>
          <w:szCs w:val="20"/>
          <w:highlight w:val="magenta"/>
        </w:rPr>
        <w:t>a nota apurad</w:t>
      </w:r>
      <w:r w:rsidR="00D56E17" w:rsidRPr="00184C8A">
        <w:rPr>
          <w:sz w:val="20"/>
          <w:szCs w:val="20"/>
          <w:highlight w:val="magenta"/>
        </w:rPr>
        <w:t>a indica uma tendência</w:t>
      </w:r>
      <w:r w:rsidR="00816172" w:rsidRPr="00184C8A">
        <w:rPr>
          <w:sz w:val="20"/>
          <w:szCs w:val="20"/>
          <w:highlight w:val="magenta"/>
        </w:rPr>
        <w:t xml:space="preserve">, em relação </w:t>
      </w:r>
      <w:r w:rsidR="005E42FE" w:rsidRPr="00184C8A">
        <w:rPr>
          <w:sz w:val="20"/>
          <w:szCs w:val="20"/>
          <w:highlight w:val="magenta"/>
        </w:rPr>
        <w:t>àquela que se</w:t>
      </w:r>
      <w:r w:rsidR="00E21C37" w:rsidRPr="00184C8A">
        <w:rPr>
          <w:sz w:val="20"/>
          <w:szCs w:val="20"/>
          <w:highlight w:val="magenta"/>
        </w:rPr>
        <w:t xml:space="preserve">rá </w:t>
      </w:r>
      <w:r w:rsidR="00580187" w:rsidRPr="00184C8A">
        <w:rPr>
          <w:sz w:val="20"/>
          <w:szCs w:val="20"/>
          <w:highlight w:val="magenta"/>
        </w:rPr>
        <w:t>atribuída</w:t>
      </w:r>
      <w:r w:rsidR="00816172" w:rsidRPr="00184C8A">
        <w:rPr>
          <w:sz w:val="20"/>
          <w:szCs w:val="20"/>
          <w:highlight w:val="magenta"/>
        </w:rPr>
        <w:t xml:space="preserve"> pel</w:t>
      </w:r>
      <w:r w:rsidR="00441899" w:rsidRPr="00184C8A">
        <w:rPr>
          <w:sz w:val="20"/>
          <w:szCs w:val="20"/>
          <w:highlight w:val="magenta"/>
        </w:rPr>
        <w:t xml:space="preserve">o Tesouro </w:t>
      </w:r>
      <w:r w:rsidR="00441899" w:rsidRPr="0084705F">
        <w:rPr>
          <w:sz w:val="20"/>
          <w:szCs w:val="20"/>
          <w:highlight w:val="magenta"/>
        </w:rPr>
        <w:t>Nacional.</w:t>
      </w:r>
    </w:p>
    <w:p w14:paraId="6AF3423E" w14:textId="7D28B684" w:rsidR="00DA2465" w:rsidRPr="00184C8A" w:rsidRDefault="00726AE0" w:rsidP="00F11771">
      <w:pPr>
        <w:rPr>
          <w:b/>
          <w:bCs/>
          <w:strike/>
          <w:color w:val="0070C0"/>
          <w:sz w:val="20"/>
          <w:szCs w:val="20"/>
          <w:u w:val="single"/>
        </w:rPr>
      </w:pPr>
      <w:r w:rsidRPr="00184C8A">
        <w:rPr>
          <w:strike/>
          <w:sz w:val="20"/>
          <w:szCs w:val="20"/>
          <w:highlight w:val="magenta"/>
        </w:rPr>
        <w:t>Os conceitos e variáveis utilizadas e os procedimentos adotados na análise da Capag foram definidos na</w:t>
      </w:r>
      <w:r w:rsidRPr="00184C8A">
        <w:rPr>
          <w:b/>
          <w:bCs/>
          <w:strike/>
          <w:sz w:val="20"/>
          <w:szCs w:val="20"/>
          <w:highlight w:val="magenta"/>
        </w:rPr>
        <w:t> </w:t>
      </w:r>
      <w:hyperlink r:id="rId9" w:tgtFrame="_blank" w:history="1">
        <w:r w:rsidRPr="00184C8A">
          <w:rPr>
            <w:b/>
            <w:bCs/>
            <w:strike/>
            <w:sz w:val="20"/>
            <w:szCs w:val="20"/>
            <w:highlight w:val="magenta"/>
          </w:rPr>
          <w:t>Portaria STN nº 10.464, de 7 de dezembro de 2022</w:t>
        </w:r>
      </w:hyperlink>
      <w:r w:rsidRPr="00184C8A">
        <w:rPr>
          <w:rFonts w:ascii="Open Sans" w:hAnsi="Open Sans" w:cs="Open Sans"/>
          <w:b/>
          <w:bCs/>
          <w:strike/>
          <w:sz w:val="21"/>
          <w:szCs w:val="21"/>
          <w:highlight w:val="magenta"/>
          <w:shd w:val="clear" w:color="auto" w:fill="FFFFFF"/>
        </w:rPr>
        <w:t>.</w:t>
      </w:r>
    </w:p>
    <w:p w14:paraId="5AFACEE0" w14:textId="18C472CA" w:rsidR="00B653AE" w:rsidRPr="00211A96" w:rsidRDefault="00451D43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11A96">
        <w:rPr>
          <w:rFonts w:ascii="Times New Roman" w:hAnsi="Times New Roman" w:cs="Times New Roman"/>
          <w:b/>
          <w:bCs/>
          <w:sz w:val="32"/>
          <w:szCs w:val="32"/>
        </w:rPr>
        <w:t>I - Endividamento (DC):</w:t>
      </w:r>
    </w:p>
    <w:p w14:paraId="437475E4" w14:textId="16531128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Valor</w:t>
      </w:r>
      <w:proofErr w:type="spellEnd"/>
      <w:r w:rsidRPr="00424332">
        <w:rPr>
          <w:b/>
          <w:bCs/>
          <w:highlight w:val="green"/>
          <w:u w:val="single"/>
        </w:rPr>
        <w:t>)</w:t>
      </w:r>
    </w:p>
    <w:p w14:paraId="56E9CA64" w14:textId="25BA9D67" w:rsidR="00A66237" w:rsidRDefault="00451D43" w:rsidP="00A66237">
      <w:r w:rsidRPr="00451D43">
        <w:rPr>
          <w:noProof/>
        </w:rPr>
        <w:drawing>
          <wp:inline distT="0" distB="0" distL="0" distR="0" wp14:anchorId="35D8709C" wp14:editId="670E9C3F">
            <wp:extent cx="2670178" cy="99391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911" cy="10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4741A" w14:textId="1F5D349A" w:rsidR="00451D43" w:rsidRDefault="00451D43"/>
    <w:p w14:paraId="4B8B5C44" w14:textId="3B8C8B89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Endiv.DC</w:t>
      </w:r>
      <w:r>
        <w:rPr>
          <w:b/>
          <w:bCs/>
          <w:highlight w:val="green"/>
          <w:u w:val="single"/>
        </w:rPr>
        <w:t>B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="008A6A00" w:rsidRPr="00007436">
        <w:rPr>
          <w:b/>
          <w:bCs/>
          <w:u w:val="single"/>
        </w:rPr>
        <w:t>Dívida Consolidada Bruta</w:t>
      </w:r>
      <w:r w:rsidR="008A6A00" w:rsidRPr="00007436">
        <w:t xml:space="preserve"> = Pegar o componente “DCL.025” do DEMONSTRATIVO DA DÍVIDA CONSOLIDADA LÍQUIDA (RGF - ANEXO 2 da LRF, art. 55, inciso I, alínea "b"), do mês de referência (1 a 12) da geração do indicador.</w:t>
      </w:r>
    </w:p>
    <w:p w14:paraId="370590A4" w14:textId="34EC59EE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RCL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R</w:t>
      </w:r>
      <w:r w:rsidR="008A6A00" w:rsidRPr="00007436">
        <w:rPr>
          <w:b/>
          <w:bCs/>
          <w:u w:val="single"/>
        </w:rPr>
        <w:t>eceita Corrente Líquida</w:t>
      </w:r>
      <w:r w:rsidR="008A6A00" w:rsidRPr="00007436">
        <w:t xml:space="preserve"> = Pegar o componente “RCL.029” do DEMONSTRATIVO DA RECEITA CORRENTE LÍQUIDA (RREO - Anexo 3</w:t>
      </w:r>
      <w:r w:rsidR="00D521E5" w:rsidRPr="00007436">
        <w:t xml:space="preserve">, da </w:t>
      </w:r>
      <w:r w:rsidR="008A6A00" w:rsidRPr="00007436">
        <w:t xml:space="preserve">LRF, </w:t>
      </w:r>
      <w:r w:rsidR="00D521E5" w:rsidRPr="00007436">
        <w:t>a</w:t>
      </w:r>
      <w:r w:rsidR="008A6A00" w:rsidRPr="00007436">
        <w:t>rt. 53, inciso I), do mês de referência (1 a 12) da geração do indicador.</w:t>
      </w:r>
    </w:p>
    <w:p w14:paraId="0400B2C6" w14:textId="3EEE1569" w:rsidR="00897972" w:rsidRPr="00007436" w:rsidRDefault="00897972" w:rsidP="007512B3">
      <w:pPr>
        <w:rPr>
          <w:sz w:val="16"/>
          <w:szCs w:val="16"/>
        </w:rPr>
      </w:pPr>
    </w:p>
    <w:p w14:paraId="0D19681A" w14:textId="12A4FF5A" w:rsidR="00614C08" w:rsidRPr="00007436" w:rsidRDefault="00B318CA" w:rsidP="00614C08">
      <w:pPr>
        <w:rPr>
          <w:b/>
          <w:bCs/>
          <w:sz w:val="28"/>
          <w:szCs w:val="28"/>
          <w:u w:val="single"/>
        </w:rPr>
      </w:pPr>
      <w:r w:rsidRPr="00424332">
        <w:rPr>
          <w:b/>
          <w:bCs/>
          <w:sz w:val="28"/>
          <w:szCs w:val="28"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sz w:val="28"/>
          <w:szCs w:val="28"/>
          <w:highlight w:val="green"/>
          <w:u w:val="single"/>
        </w:rPr>
        <w:t>Endiv.Nota</w:t>
      </w:r>
      <w:proofErr w:type="spellEnd"/>
      <w:r w:rsidRPr="00424332">
        <w:rPr>
          <w:b/>
          <w:bCs/>
          <w:sz w:val="28"/>
          <w:szCs w:val="28"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N</w:t>
      </w:r>
      <w:r w:rsidR="00614C08" w:rsidRPr="00007436">
        <w:rPr>
          <w:b/>
          <w:bCs/>
          <w:sz w:val="28"/>
          <w:szCs w:val="28"/>
          <w:u w:val="single"/>
        </w:rPr>
        <w:t xml:space="preserve">ota do Indicador de Endividamento </w:t>
      </w:r>
    </w:p>
    <w:p w14:paraId="22BB5755" w14:textId="01EEFA63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DC &lt; 0,6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“A”; </w:t>
      </w:r>
    </w:p>
    <w:p w14:paraId="4D81A689" w14:textId="48086AA7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>=&gt; Se</w:t>
      </w:r>
      <w:r w:rsidR="001B0D75" w:rsidRPr="00007436">
        <w:rPr>
          <w:sz w:val="28"/>
          <w:szCs w:val="28"/>
        </w:rPr>
        <w:t xml:space="preserve"> 0,6</w:t>
      </w:r>
      <w:r w:rsidRPr="00007436">
        <w:rPr>
          <w:sz w:val="28"/>
          <w:szCs w:val="28"/>
        </w:rPr>
        <w:t xml:space="preserve"> </w:t>
      </w:r>
      <w:r w:rsidR="001B0D75" w:rsidRPr="00007436">
        <w:rPr>
          <w:rFonts w:cstheme="minorHAnsi"/>
          <w:sz w:val="28"/>
          <w:szCs w:val="28"/>
        </w:rPr>
        <w:t xml:space="preserve">≤ </w:t>
      </w:r>
      <w:r w:rsidRPr="00007436">
        <w:rPr>
          <w:sz w:val="28"/>
          <w:szCs w:val="28"/>
        </w:rPr>
        <w:t xml:space="preserve">DC &lt; </w:t>
      </w:r>
      <w:r w:rsidR="001B0D75" w:rsidRPr="00007436">
        <w:rPr>
          <w:sz w:val="28"/>
          <w:szCs w:val="28"/>
        </w:rPr>
        <w:t>1</w:t>
      </w:r>
      <w:r w:rsidRPr="00007436">
        <w:rPr>
          <w:sz w:val="28"/>
          <w:szCs w:val="28"/>
        </w:rPr>
        <w:t xml:space="preserve">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</w:t>
      </w:r>
      <w:r w:rsidR="001B0D75" w:rsidRPr="00007436">
        <w:rPr>
          <w:sz w:val="28"/>
          <w:szCs w:val="28"/>
        </w:rPr>
        <w:t>B</w:t>
      </w:r>
      <w:r w:rsidRPr="00007436">
        <w:rPr>
          <w:sz w:val="28"/>
          <w:szCs w:val="28"/>
        </w:rPr>
        <w:t>”;</w:t>
      </w:r>
    </w:p>
    <w:p w14:paraId="08121FF7" w14:textId="05F0557A" w:rsidR="00614C08" w:rsidRPr="00FF5BBB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DC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1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“C”;</w:t>
      </w:r>
    </w:p>
    <w:p w14:paraId="4EB83D6D" w14:textId="77777777" w:rsidR="00614C08" w:rsidRDefault="00614C08" w:rsidP="007512B3">
      <w:pPr>
        <w:rPr>
          <w:sz w:val="16"/>
          <w:szCs w:val="16"/>
        </w:rPr>
      </w:pPr>
    </w:p>
    <w:p w14:paraId="413F92C3" w14:textId="77777777" w:rsidR="00614C08" w:rsidRPr="00897972" w:rsidRDefault="00614C08" w:rsidP="007512B3">
      <w:pPr>
        <w:rPr>
          <w:sz w:val="16"/>
          <w:szCs w:val="16"/>
        </w:rPr>
      </w:pPr>
    </w:p>
    <w:p w14:paraId="1F1B1E07" w14:textId="3FC109BB" w:rsidR="00451D43" w:rsidRDefault="00451D43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II - Poupança Corrente (PC):</w:t>
      </w:r>
    </w:p>
    <w:p w14:paraId="0A92FEB7" w14:textId="77777777" w:rsidR="00B318CA" w:rsidRDefault="00B318CA">
      <w:pPr>
        <w:rPr>
          <w:b/>
          <w:bCs/>
          <w:highlight w:val="green"/>
          <w:u w:val="single"/>
        </w:rPr>
      </w:pPr>
    </w:p>
    <w:p w14:paraId="6B9F1748" w14:textId="0F3AA5FB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>
        <w:rPr>
          <w:b/>
          <w:bCs/>
          <w:highlight w:val="green"/>
          <w:u w:val="single"/>
        </w:rPr>
        <w:t>(</w:t>
      </w:r>
      <w:r w:rsidRPr="00424332">
        <w:rPr>
          <w:b/>
          <w:bCs/>
          <w:highlight w:val="green"/>
          <w:u w:val="single"/>
        </w:rPr>
        <w:t xml:space="preserve">Componente </w:t>
      </w:r>
      <w:proofErr w:type="spellStart"/>
      <w:proofErr w:type="gramStart"/>
      <w:r>
        <w:rPr>
          <w:b/>
          <w:bCs/>
          <w:highlight w:val="green"/>
          <w:u w:val="single"/>
        </w:rPr>
        <w:t>P</w:t>
      </w:r>
      <w:r w:rsidR="00D7726D">
        <w:rPr>
          <w:b/>
          <w:bCs/>
          <w:highlight w:val="green"/>
          <w:u w:val="single"/>
        </w:rPr>
        <w:t>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Valor</w:t>
      </w:r>
      <w:proofErr w:type="spellEnd"/>
      <w:proofErr w:type="gramEnd"/>
      <w:r>
        <w:rPr>
          <w:b/>
          <w:bCs/>
          <w:highlight w:val="green"/>
          <w:u w:val="single"/>
        </w:rPr>
        <w:t>)</w:t>
      </w:r>
    </w:p>
    <w:p w14:paraId="10E1BACE" w14:textId="5F950A20" w:rsidR="00451D43" w:rsidRDefault="00451D43">
      <w:r w:rsidRPr="00451D43">
        <w:rPr>
          <w:noProof/>
        </w:rPr>
        <w:lastRenderedPageBreak/>
        <w:drawing>
          <wp:inline distT="0" distB="0" distL="0" distR="0" wp14:anchorId="743C5735" wp14:editId="159403B8">
            <wp:extent cx="2523170" cy="93825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89" cy="96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06BBE" w14:textId="708BD6EC" w:rsidR="009052FF" w:rsidRPr="0045641D" w:rsidRDefault="00424332" w:rsidP="009052FF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</w:t>
      </w:r>
      <w:r w:rsidR="009052FF" w:rsidRPr="006B3F6E">
        <w:rPr>
          <w:rFonts w:cs="Arial"/>
          <w:b/>
          <w:bCs/>
          <w:sz w:val="28"/>
          <w:szCs w:val="28"/>
        </w:rPr>
        <w:t>C =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1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2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3</w:t>
      </w:r>
      <w:r w:rsidR="009052FF" w:rsidRPr="006B3F6E">
        <w:rPr>
          <w:rFonts w:cs="Arial"/>
          <w:b/>
          <w:bCs/>
          <w:sz w:val="28"/>
          <w:szCs w:val="28"/>
        </w:rPr>
        <w:t xml:space="preserve"> </w:t>
      </w:r>
      <w:r w:rsidR="006B3F6E">
        <w:rPr>
          <w:rFonts w:cs="Arial"/>
          <w:b/>
          <w:bCs/>
          <w:sz w:val="28"/>
          <w:szCs w:val="28"/>
        </w:rPr>
        <w:t xml:space="preserve">  </w:t>
      </w:r>
      <w:r w:rsidR="009052FF" w:rsidRPr="006B3F6E">
        <w:rPr>
          <w:rFonts w:cs="Arial"/>
          <w:b/>
          <w:bCs/>
          <w:sz w:val="28"/>
          <w:szCs w:val="28"/>
        </w:rPr>
        <w:t>Calculados conforme procedimentos abaixo:</w:t>
      </w:r>
    </w:p>
    <w:p w14:paraId="15DCB6C4" w14:textId="77777777" w:rsidR="00B318CA" w:rsidRDefault="00B318CA" w:rsidP="00187E8D">
      <w:pPr>
        <w:rPr>
          <w:b/>
          <w:bCs/>
          <w:sz w:val="28"/>
          <w:szCs w:val="28"/>
          <w:highlight w:val="yellow"/>
          <w:u w:val="single"/>
        </w:rPr>
      </w:pPr>
    </w:p>
    <w:p w14:paraId="533EF1BE" w14:textId="5290BE2D" w:rsidR="006B3F6E" w:rsidRDefault="006B3F6E" w:rsidP="00187E8D">
      <w:pPr>
        <w:rPr>
          <w:b/>
          <w:bCs/>
          <w:sz w:val="28"/>
          <w:szCs w:val="28"/>
          <w:highlight w:val="yellow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 xml:space="preserve">Quando mês de referência da geração do indicador for </w:t>
      </w:r>
      <w:r>
        <w:rPr>
          <w:b/>
          <w:bCs/>
          <w:sz w:val="28"/>
          <w:szCs w:val="28"/>
          <w:highlight w:val="yellow"/>
          <w:u w:val="single"/>
        </w:rPr>
        <w:t>janeiro a nov</w:t>
      </w:r>
      <w:r w:rsidRPr="006B3F6E">
        <w:rPr>
          <w:b/>
          <w:bCs/>
          <w:sz w:val="28"/>
          <w:szCs w:val="28"/>
          <w:highlight w:val="yellow"/>
          <w:u w:val="single"/>
        </w:rPr>
        <w:t>embro</w:t>
      </w:r>
    </w:p>
    <w:p w14:paraId="3D1F6A1F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7936FD0D" w14:textId="4A5B1A83" w:rsidR="006B3F6E" w:rsidRPr="00DA09ED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DC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</w:t>
      </w:r>
      <w:r w:rsidR="00DA09ED" w:rsidRPr="00F76E00">
        <w:t>“Tabulação - Despesa por Empenho”, coluna “</w:t>
      </w:r>
      <w:r w:rsidR="00DA09ED">
        <w:t>Liquidado</w:t>
      </w:r>
      <w:r w:rsidR="00DA09ED" w:rsidRPr="00F76E00">
        <w:t>”</w:t>
      </w:r>
      <w:r w:rsidR="006B3F6E">
        <w:t>, para as Naturezas de Despesas (</w:t>
      </w:r>
      <w:proofErr w:type="spellStart"/>
      <w:r w:rsidR="006B3F6E">
        <w:t>ND’s</w:t>
      </w:r>
      <w:proofErr w:type="spellEnd"/>
      <w:r w:rsidR="006B3F6E">
        <w:t>) começadas com “3</w:t>
      </w:r>
      <w:r w:rsidR="006B3F6E" w:rsidRPr="00DA09ED">
        <w:t>.X.XX.XX.XX”, no mês de referência da geração do indicador e nos onze anteriores</w:t>
      </w:r>
      <w:r w:rsidR="00DA09ED" w:rsidRPr="00DA09ED">
        <w:t xml:space="preserve"> + o valor da </w:t>
      </w:r>
      <w:r w:rsidR="00DA09ED" w:rsidRPr="00F76E00">
        <w:t>coluna “Inscrito em RPNP”</w:t>
      </w:r>
      <w:r w:rsidR="00DA09ED">
        <w:t>, para as Naturezas de Despesas (</w:t>
      </w:r>
      <w:proofErr w:type="spellStart"/>
      <w:r w:rsidR="00DA09ED">
        <w:t>ND’s</w:t>
      </w:r>
      <w:proofErr w:type="spellEnd"/>
      <w:r w:rsidR="00DA09ED">
        <w:t>) começadas com “3</w:t>
      </w:r>
      <w:r w:rsidR="00DA09ED" w:rsidRPr="00DA09ED">
        <w:t>.X.XX.XX.XX”</w:t>
      </w:r>
      <w:r w:rsidR="00DA09ED" w:rsidRPr="00F76E00">
        <w:t xml:space="preserve">, no mês 12 do </w:t>
      </w:r>
      <w:r w:rsidR="00CB5E51">
        <w:t>ano de (</w:t>
      </w:r>
      <w:r w:rsidR="00DA09ED" w:rsidRPr="00F76E00">
        <w:t>referência</w:t>
      </w:r>
      <w:r w:rsidR="00CB5E51">
        <w:t xml:space="preserve"> -1)</w:t>
      </w:r>
      <w:r w:rsidR="00DA09ED">
        <w:t xml:space="preserve"> da geração do indicador.</w:t>
      </w:r>
    </w:p>
    <w:p w14:paraId="2F604632" w14:textId="542CEC6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proofErr w:type="gramStart"/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 w:rsidR="006B3F6E">
        <w:rPr>
          <w:b/>
          <w:bCs/>
          <w:u w:val="single"/>
        </w:rPr>
        <w:t>Receita</w:t>
      </w:r>
      <w:proofErr w:type="gramEnd"/>
      <w:r w:rsidR="006B3F6E">
        <w:rPr>
          <w:b/>
          <w:bCs/>
          <w:u w:val="single"/>
        </w:rPr>
        <w:t xml:space="preserve"> Corrente Ajustada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RCA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 xml:space="preserve">1.X.X.X.XX.X.X + 7.X.X.X.XX.X.X”, no mês de referência da geração do indicador e nos onze anteriores. </w:t>
      </w:r>
    </w:p>
    <w:p w14:paraId="1B71A629" w14:textId="5B4167E9" w:rsidR="006B3F6E" w:rsidRPr="0045641D" w:rsidRDefault="00B318CA" w:rsidP="006B3F6E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0,5</w:t>
      </w:r>
    </w:p>
    <w:p w14:paraId="72003CFF" w14:textId="77777777" w:rsidR="006B3F6E" w:rsidRPr="00DA09ED" w:rsidRDefault="006B3F6E" w:rsidP="006B3F6E"/>
    <w:p w14:paraId="0E30F521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22D7BBDC" w14:textId="5AF399D9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 w:rsidRPr="00FB6FD0">
        <w:t>do décimo segundo ao vigésimo terceiro mês anteriores ao mês de referência da geração do indicador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-2) da geração do indicador.</w:t>
      </w:r>
    </w:p>
    <w:p w14:paraId="267BD0B1" w14:textId="1F5D98B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décimo segundo ao vigésimo terceiro mês anteriores ao mês de referência da geração do indicador.</w:t>
      </w:r>
    </w:p>
    <w:p w14:paraId="7701ECB1" w14:textId="70210818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3</w:t>
      </w:r>
    </w:p>
    <w:p w14:paraId="0A73DD0B" w14:textId="77777777" w:rsidR="00DE2811" w:rsidRDefault="00DE2811" w:rsidP="006B3F6E">
      <w:pPr>
        <w:rPr>
          <w:b/>
          <w:bCs/>
          <w:sz w:val="28"/>
          <w:szCs w:val="28"/>
          <w:highlight w:val="cyan"/>
        </w:rPr>
      </w:pPr>
    </w:p>
    <w:p w14:paraId="1FE22CB4" w14:textId="20BCEA43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61C5FED2" w14:textId="4BDDECA3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>
        <w:rPr>
          <w:rFonts w:cs="Arial"/>
          <w:sz w:val="20"/>
        </w:rPr>
        <w:t>do vigésimo quarto ao trigésimo quinto mês anteriores ao mês de referência da geração do indicado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-3) da geração do indicador.</w:t>
      </w:r>
    </w:p>
    <w:p w14:paraId="32C8A2FA" w14:textId="7B816E8F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vigésimo quarto ao trigésimo quinto mês anteriores ao mês de referência da geração do indicador.</w:t>
      </w:r>
    </w:p>
    <w:p w14:paraId="750DB32F" w14:textId="299336F4" w:rsidR="006B3F6E" w:rsidRDefault="00B318CA" w:rsidP="006B3F6E">
      <w:pPr>
        <w:rPr>
          <w:b/>
          <w:bCs/>
          <w:sz w:val="28"/>
          <w:szCs w:val="28"/>
          <w:highlight w:val="yellow"/>
        </w:rPr>
      </w:pPr>
      <w:r>
        <w:rPr>
          <w:b/>
          <w:bCs/>
          <w:highlight w:val="green"/>
          <w:u w:val="single"/>
        </w:rPr>
        <w:lastRenderedPageBreak/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2</w:t>
      </w:r>
    </w:p>
    <w:p w14:paraId="7988C68A" w14:textId="77777777" w:rsidR="006B3F6E" w:rsidRDefault="006B3F6E" w:rsidP="00187E8D">
      <w:pPr>
        <w:rPr>
          <w:b/>
          <w:bCs/>
          <w:sz w:val="28"/>
          <w:szCs w:val="28"/>
          <w:highlight w:val="yellow"/>
        </w:rPr>
      </w:pPr>
    </w:p>
    <w:p w14:paraId="54B3810A" w14:textId="7F1ECF2A" w:rsidR="006B3F6E" w:rsidRPr="006B3F6E" w:rsidRDefault="006B3F6E" w:rsidP="00187E8D">
      <w:pPr>
        <w:rPr>
          <w:b/>
          <w:bCs/>
          <w:sz w:val="28"/>
          <w:szCs w:val="28"/>
          <w:highlight w:val="yellow"/>
          <w:u w:val="single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>Quando mês de referência da geração do indicador for dezembro</w:t>
      </w:r>
    </w:p>
    <w:p w14:paraId="695B45C1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6D8FDE98" w14:textId="69FE0502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de referência da geração do indicador e nos onze anteriores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(referência) da geração do indicador.</w:t>
      </w:r>
    </w:p>
    <w:p w14:paraId="435B531F" w14:textId="61CF8EE7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no mês de referência da geração do indicador e nos onze anteriores.</w:t>
      </w:r>
      <w:r w:rsidR="00FB6FD0" w:rsidRPr="00FB6FD0">
        <w:t xml:space="preserve"> </w:t>
      </w:r>
    </w:p>
    <w:p w14:paraId="2190A74D" w14:textId="04CF8FC2" w:rsidR="00FB6FD0" w:rsidRPr="0045641D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0,5</w:t>
      </w:r>
    </w:p>
    <w:p w14:paraId="456F030C" w14:textId="77777777" w:rsidR="00FB6FD0" w:rsidRPr="00DA09ED" w:rsidRDefault="00FB6FD0" w:rsidP="00FB6FD0"/>
    <w:p w14:paraId="4ED4C78A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53F7CD5A" w14:textId="62C9E76E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do décimo segundo ao vigésimo terceiro mês anteriores ao mês de referência da geração do indicador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-1) da geração do indicador.</w:t>
      </w:r>
    </w:p>
    <w:p w14:paraId="648DD5D4" w14:textId="4A4335F8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décimo segundo ao vigésimo terceiro mês anteriores ao mês de referência da geração do indicador.</w:t>
      </w:r>
    </w:p>
    <w:p w14:paraId="30510194" w14:textId="620C46FA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3</w:t>
      </w:r>
    </w:p>
    <w:p w14:paraId="1977B73A" w14:textId="77777777" w:rsidR="00DE2811" w:rsidRDefault="00DE2811" w:rsidP="00FB6FD0">
      <w:pPr>
        <w:rPr>
          <w:b/>
          <w:bCs/>
          <w:sz w:val="28"/>
          <w:szCs w:val="28"/>
          <w:highlight w:val="cyan"/>
        </w:rPr>
      </w:pPr>
    </w:p>
    <w:p w14:paraId="2EB66342" w14:textId="33CEA409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260AA24F" w14:textId="3A2DE49A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 xml:space="preserve">) começadas com “3.X.XX.XX.XX”, </w:t>
      </w:r>
      <w:r w:rsidR="00FB6FD0" w:rsidRPr="00007436">
        <w:rPr>
          <w:rFonts w:cs="Arial"/>
          <w:sz w:val="20"/>
        </w:rPr>
        <w:t>do vigésimo quarto ao trigésimo quinto mês anteriores ao mês de referência da geração do indicado</w:t>
      </w:r>
      <w:r w:rsidR="00FB6FD0" w:rsidRPr="00007436">
        <w:t xml:space="preserve">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-2) da geração do indicador.</w:t>
      </w:r>
    </w:p>
    <w:p w14:paraId="0101878C" w14:textId="758EA709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vigésimo quarto ao trigésimo quinto mês anteriores ao mês de referência da geração do</w:t>
      </w:r>
      <w:r w:rsidR="00FB6FD0" w:rsidRPr="00FB6FD0">
        <w:t xml:space="preserve"> indicador.</w:t>
      </w:r>
    </w:p>
    <w:p w14:paraId="2AC1EE13" w14:textId="4816A4DC" w:rsidR="001B0D75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2</w:t>
      </w:r>
    </w:p>
    <w:p w14:paraId="334243B0" w14:textId="77777777" w:rsidR="00FB6FD0" w:rsidRDefault="00FB6FD0" w:rsidP="00FB6FD0">
      <w:pPr>
        <w:rPr>
          <w:b/>
          <w:bCs/>
          <w:sz w:val="28"/>
          <w:szCs w:val="28"/>
          <w:u w:val="single"/>
        </w:rPr>
      </w:pPr>
    </w:p>
    <w:p w14:paraId="577798CC" w14:textId="7396082F" w:rsidR="001B0D75" w:rsidRPr="00007436" w:rsidRDefault="00B318CA" w:rsidP="001B0D75">
      <w:pPr>
        <w:rPr>
          <w:b/>
          <w:bCs/>
          <w:sz w:val="28"/>
          <w:szCs w:val="28"/>
          <w:u w:val="single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proofErr w:type="spellStart"/>
      <w:proofErr w:type="gramStart"/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Nota</w:t>
      </w:r>
      <w:proofErr w:type="spellEnd"/>
      <w:proofErr w:type="gramEnd"/>
      <w:r>
        <w:rPr>
          <w:b/>
          <w:bCs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</w:t>
      </w:r>
      <w:r w:rsidR="001B0D75" w:rsidRPr="00007436">
        <w:rPr>
          <w:b/>
          <w:bCs/>
          <w:sz w:val="28"/>
          <w:szCs w:val="28"/>
          <w:u w:val="single"/>
        </w:rPr>
        <w:t xml:space="preserve">Nota do Indicador de Poupança Corrente </w:t>
      </w:r>
    </w:p>
    <w:p w14:paraId="222DB6D5" w14:textId="61DBFBB0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lastRenderedPageBreak/>
        <w:t xml:space="preserve"> =&gt; Se PC &lt; 0,85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“A”; </w:t>
      </w:r>
    </w:p>
    <w:p w14:paraId="4ECBD25C" w14:textId="2DFD882E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0,85 </w:t>
      </w:r>
      <w:r w:rsidRPr="00007436">
        <w:rPr>
          <w:rFonts w:cstheme="minorHAnsi"/>
          <w:sz w:val="28"/>
          <w:szCs w:val="28"/>
        </w:rPr>
        <w:t>≤ P</w:t>
      </w:r>
      <w:r w:rsidRPr="00007436">
        <w:rPr>
          <w:sz w:val="28"/>
          <w:szCs w:val="28"/>
        </w:rPr>
        <w:t xml:space="preserve">C &lt;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“B”;</w:t>
      </w:r>
    </w:p>
    <w:p w14:paraId="7C51EA1C" w14:textId="078CE877" w:rsidR="001B0D75" w:rsidRPr="00FF5BBB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PC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“C”;</w:t>
      </w:r>
    </w:p>
    <w:p w14:paraId="33D64CAC" w14:textId="054C1987" w:rsidR="00BC6D11" w:rsidRDefault="00BC6D11" w:rsidP="00A611CB"/>
    <w:p w14:paraId="52609C8E" w14:textId="77777777" w:rsidR="003E4259" w:rsidRPr="003E4259" w:rsidRDefault="003E4259" w:rsidP="003E4259">
      <w:pPr>
        <w:spacing w:after="0"/>
        <w:rPr>
          <w:b/>
          <w:bCs/>
          <w:sz w:val="28"/>
          <w:szCs w:val="28"/>
          <w:highlight w:val="lightGray"/>
        </w:rPr>
      </w:pPr>
      <w:bookmarkStart w:id="0" w:name="_Hlk118993185"/>
    </w:p>
    <w:bookmarkEnd w:id="0"/>
    <w:p w14:paraId="06F0CA9F" w14:textId="3CA20DC1" w:rsidR="00F4568E" w:rsidRPr="00A85091" w:rsidRDefault="00F4568E" w:rsidP="00A57B18">
      <w:pPr>
        <w:rPr>
          <w:color w:val="0070C0"/>
          <w:sz w:val="16"/>
          <w:szCs w:val="16"/>
        </w:rPr>
      </w:pPr>
    </w:p>
    <w:p w14:paraId="6A6A5877" w14:textId="70003906" w:rsidR="00302E70" w:rsidRPr="00211A96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III - Liquidez </w:t>
      </w:r>
      <w:r w:rsidR="00F0482B"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Relativa </w:t>
      </w: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(</w:t>
      </w:r>
      <w:r w:rsidR="00F0482B"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LR</w:t>
      </w: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):</w:t>
      </w:r>
    </w:p>
    <w:p w14:paraId="0CD0B1AD" w14:textId="104C4C6E" w:rsidR="00302E70" w:rsidRPr="00302E70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Pr="00211A96">
        <w:rPr>
          <w:b/>
          <w:bCs/>
          <w:highlight w:val="green"/>
          <w:u w:val="single"/>
        </w:rPr>
        <w:t>Liq</w:t>
      </w:r>
      <w:r w:rsidR="00F0482B" w:rsidRPr="00211A96">
        <w:rPr>
          <w:b/>
          <w:bCs/>
          <w:highlight w:val="green"/>
          <w:u w:val="single"/>
        </w:rPr>
        <w:t>Rel</w:t>
      </w:r>
      <w:r w:rsidRPr="00211A96">
        <w:rPr>
          <w:b/>
          <w:bCs/>
          <w:highlight w:val="green"/>
          <w:u w:val="single"/>
        </w:rPr>
        <w:t>.Valor</w:t>
      </w:r>
      <w:proofErr w:type="spellEnd"/>
      <w:r w:rsidRPr="00211A96">
        <w:rPr>
          <w:b/>
          <w:bCs/>
          <w:highlight w:val="green"/>
          <w:u w:val="single"/>
        </w:rPr>
        <w:t>)</w:t>
      </w:r>
    </w:p>
    <w:p w14:paraId="655AFB78" w14:textId="11CC6CF3" w:rsidR="00302E70" w:rsidRDefault="00D05C54" w:rsidP="00D05C54">
      <w:pPr>
        <w:rPr>
          <w:b/>
          <w:bCs/>
          <w:sz w:val="28"/>
          <w:szCs w:val="28"/>
          <w:highlight w:val="yellow"/>
          <w:u w:val="single"/>
        </w:rPr>
      </w:pPr>
      <w:r w:rsidRPr="00A85091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pt-BR"/>
        </w:rPr>
        <w:drawing>
          <wp:inline distT="0" distB="0" distL="0" distR="0" wp14:anchorId="3DB968A6" wp14:editId="50FCEAE6">
            <wp:extent cx="6645910" cy="908685"/>
            <wp:effectExtent l="0" t="0" r="2540" b="5715"/>
            <wp:docPr id="224484873" name="Imagem 1" descr="Texto, Car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84873" name="Imagem 1" descr="Texto, Cart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DDC41" w14:textId="77777777" w:rsidR="00192D85" w:rsidRPr="00A85091" w:rsidRDefault="00192D85" w:rsidP="00192D85">
      <w:pPr>
        <w:rPr>
          <w:b/>
          <w:bCs/>
          <w:sz w:val="16"/>
          <w:szCs w:val="16"/>
          <w:highlight w:val="green"/>
          <w:u w:val="single"/>
        </w:rPr>
      </w:pPr>
    </w:p>
    <w:p w14:paraId="251E476C" w14:textId="411F42BF" w:rsidR="00192D85" w:rsidRPr="00211A96" w:rsidRDefault="00192D85" w:rsidP="0069347F">
      <w:pPr>
        <w:jc w:val="both"/>
      </w:pPr>
      <w:r w:rsidRPr="00211A96">
        <w:rPr>
          <w:b/>
          <w:bCs/>
          <w:u w:val="single"/>
        </w:rPr>
        <w:t>(</w:t>
      </w:r>
      <w:r w:rsidRPr="00211A96">
        <w:rPr>
          <w:b/>
          <w:bCs/>
          <w:highlight w:val="green"/>
          <w:u w:val="single"/>
        </w:rPr>
        <w:t xml:space="preserve">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.DCB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u w:val="single"/>
        </w:rPr>
        <w:t xml:space="preserve"> Disponibilidade de Caixa Bruta</w:t>
      </w:r>
      <w:r w:rsidRPr="00211A96">
        <w:t xml:space="preserve"> = Pegar os componentes “DCRP.0075 + DCRP.0003 + DCRP.0069 + DCRP.0070 + DCRP.0006 + DCRP.0024 + DCRP.1007 + DCRP.1008 + DCRP.1009</w:t>
      </w:r>
      <w:r w:rsidR="00711F0E">
        <w:t xml:space="preserve"> </w:t>
      </w:r>
      <w:r w:rsidR="00711F0E" w:rsidRPr="007A3C00">
        <w:t>+ DCRP.1013</w:t>
      </w:r>
      <w:r w:rsidRPr="007A3C00">
        <w:t>”</w:t>
      </w:r>
      <w:r w:rsidRPr="00211A96">
        <w:t xml:space="preserve"> do DEMONSTRATIVO DA DISPONIBILIDADE DE CAIXA E DOS RESTOS A PAGAR </w:t>
      </w:r>
      <w:r w:rsidRPr="00211A96">
        <w:rPr>
          <w:b/>
          <w:bCs/>
        </w:rPr>
        <w:t>Poder Executivo</w:t>
      </w:r>
      <w:r w:rsidRPr="00211A96">
        <w:t xml:space="preserve"> (RGF – ANEXO 5, da LRF, art. 55, Inciso III, alínea "a" e "b"), versão mensal do Demonstrativo, do mês de referência (1 a 11, e 13) da geração do indicador.</w:t>
      </w:r>
    </w:p>
    <w:p w14:paraId="6E6E1896" w14:textId="27FEAC67" w:rsidR="00302E70" w:rsidRPr="00007436" w:rsidRDefault="00302E70" w:rsidP="0069347F">
      <w:pPr>
        <w:jc w:val="both"/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.OF</w:t>
      </w:r>
      <w:proofErr w:type="spellEnd"/>
      <w:r w:rsidRPr="00211A96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Pr="00007436">
        <w:rPr>
          <w:b/>
          <w:bCs/>
          <w:u w:val="single"/>
        </w:rPr>
        <w:t>Obrigações Financeira</w:t>
      </w:r>
      <w:r w:rsidRPr="00007436">
        <w:t xml:space="preserve"> = Pegar os componentes “DCRP.0175 + DCRP.0103 + DCRP.0169 + DCRP.0170 + DCRP.0106 + DCRP.0124 + DCRP.1107 + DCRP.1108 + DCRP.1109 + DCRP.0275 + DCRP.0203 + DCRP.0269 + DCRP.0270 + DCRP.0206 + DCRP.0224 + DCRP.1207 + DCRP.1208 + DCRP.1209 + DCRP.0375 + DCRP.0303 + DCRP.0369 + DCRP.0370 + DCRP.0306 + DCRP.0324 + DCRP.1307 + DCRP.1308 + DCRP.1309 + DCRP.0475 + DCRP.0403 + DCRP.0469 + DCRP.0470 + DCRP.0406 + DCRP.0424 + DCRP.1407 + DCRP.1408 + DCRP.1409 + DCRP.0575 + DCRP.0503 + DCRP.0569 + DCRP.0570 + DCRP.0506 + DCRP.0524 + DCRP.1507 + DCRP.1508 + DCRP.</w:t>
      </w:r>
      <w:r w:rsidRPr="007A3C00">
        <w:t>1509</w:t>
      </w:r>
      <w:r w:rsidR="007C6B8A" w:rsidRPr="007A3C00">
        <w:t xml:space="preserve"> + DCRP.1113  + DCRP.1213 + DCRP.1313 + DCRP.1413 + DCRP.1513</w:t>
      </w:r>
      <w:r w:rsidRPr="007A3C00">
        <w:t>” do DEMONSTRATIVO DA DISPONIBILIDADE DE</w:t>
      </w:r>
      <w:r w:rsidRPr="00007436">
        <w:t xml:space="preserve"> CAIXA E DOS RESTOS A PAGAR – </w:t>
      </w:r>
      <w:r w:rsidRPr="00007436">
        <w:rPr>
          <w:b/>
          <w:bCs/>
        </w:rPr>
        <w:t>Poder Executivo</w:t>
      </w:r>
      <w:r w:rsidRPr="00007436">
        <w:t xml:space="preserve"> (RGF – ANEXO 5, da LRF, art. 55, Inciso III, alínea "a" e "b"), versão mensal do Demonstrativo, do mês de referência (1 a 11</w:t>
      </w:r>
      <w:r>
        <w:t>, e 13</w:t>
      </w:r>
      <w:r w:rsidRPr="00007436">
        <w:t>) da geração do indicador.</w:t>
      </w:r>
    </w:p>
    <w:p w14:paraId="3120CF88" w14:textId="065EF14A" w:rsidR="002F7AE3" w:rsidRPr="00211A96" w:rsidRDefault="00B20C67" w:rsidP="0069347F">
      <w:pPr>
        <w:jc w:val="both"/>
      </w:pPr>
      <w:r w:rsidRPr="00211A96">
        <w:rPr>
          <w:b/>
          <w:bCs/>
          <w:highlight w:val="green"/>
          <w:u w:val="single"/>
        </w:rPr>
        <w:t>(C</w:t>
      </w:r>
      <w:r w:rsidR="002F7AE3" w:rsidRPr="00211A96">
        <w:rPr>
          <w:b/>
          <w:bCs/>
          <w:highlight w:val="green"/>
          <w:u w:val="single"/>
        </w:rPr>
        <w:t xml:space="preserve">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="004D5F38" w:rsidRPr="00211A96">
        <w:rPr>
          <w:b/>
          <w:bCs/>
          <w:highlight w:val="green"/>
          <w:u w:val="single"/>
        </w:rPr>
        <w:t>.IC</w:t>
      </w:r>
      <w:r w:rsidR="004E3ECA" w:rsidRPr="00211A96">
        <w:rPr>
          <w:b/>
          <w:bCs/>
          <w:highlight w:val="green"/>
          <w:u w:val="single"/>
        </w:rPr>
        <w:t>F</w:t>
      </w:r>
      <w:r w:rsidRPr="00211A96">
        <w:rPr>
          <w:b/>
          <w:bCs/>
          <w:highlight w:val="green"/>
          <w:u w:val="single"/>
        </w:rPr>
        <w:t>R</w:t>
      </w:r>
      <w:r w:rsidR="0049640F" w:rsidRPr="00211A96">
        <w:rPr>
          <w:b/>
          <w:bCs/>
          <w:highlight w:val="green"/>
          <w:u w:val="single"/>
        </w:rPr>
        <w:t>V</w:t>
      </w:r>
      <w:proofErr w:type="spellEnd"/>
      <w:r w:rsidR="002F7AE3" w:rsidRPr="00211A96">
        <w:rPr>
          <w:b/>
          <w:bCs/>
          <w:highlight w:val="green"/>
          <w:u w:val="single"/>
        </w:rPr>
        <w:t>)</w:t>
      </w:r>
      <w:r w:rsidR="002F7AE3" w:rsidRPr="00211A96">
        <w:rPr>
          <w:b/>
          <w:bCs/>
          <w:u w:val="single"/>
        </w:rPr>
        <w:t xml:space="preserve"> </w:t>
      </w:r>
      <w:r w:rsidR="00C84075" w:rsidRPr="00211A96">
        <w:rPr>
          <w:b/>
          <w:bCs/>
          <w:u w:val="single"/>
        </w:rPr>
        <w:t>insuficiências de caixa em fontes de recursos vinculadas</w:t>
      </w:r>
      <w:r w:rsidR="002F7AE3" w:rsidRPr="00211A96">
        <w:t xml:space="preserve"> = </w:t>
      </w:r>
      <w:r w:rsidR="00311A06" w:rsidRPr="00211A96">
        <w:t xml:space="preserve">Soma de todos os </w:t>
      </w:r>
      <w:r w:rsidR="002F7AE3" w:rsidRPr="00211A96">
        <w:t xml:space="preserve"> componentes “DCRP.0</w:t>
      </w:r>
      <w:r w:rsidR="00D81D4C" w:rsidRPr="00211A96">
        <w:t>608</w:t>
      </w:r>
      <w:r w:rsidR="00AC0E98" w:rsidRPr="00211A96">
        <w:t>,</w:t>
      </w:r>
      <w:r w:rsidR="002F7AE3" w:rsidRPr="00211A96">
        <w:t xml:space="preserve"> DCRP.0</w:t>
      </w:r>
      <w:r w:rsidR="00D81D4C" w:rsidRPr="00211A96">
        <w:t>609</w:t>
      </w:r>
      <w:r w:rsidR="00AC0E98" w:rsidRPr="00211A96">
        <w:t xml:space="preserve">, </w:t>
      </w:r>
      <w:r w:rsidR="002F7AE3" w:rsidRPr="00211A96">
        <w:t>DCRP.0</w:t>
      </w:r>
      <w:r w:rsidR="00AC0E98" w:rsidRPr="00211A96">
        <w:t>611</w:t>
      </w:r>
      <w:r w:rsidR="00B72E1D" w:rsidRPr="00211A96">
        <w:t xml:space="preserve">, </w:t>
      </w:r>
      <w:r w:rsidR="002F7AE3" w:rsidRPr="00211A96">
        <w:t>DCRP.0</w:t>
      </w:r>
      <w:r w:rsidR="00AC0E98" w:rsidRPr="00211A96">
        <w:t>612</w:t>
      </w:r>
      <w:r w:rsidR="00B72E1D" w:rsidRPr="00211A96">
        <w:t>,</w:t>
      </w:r>
      <w:r w:rsidR="002F7AE3" w:rsidRPr="00211A96">
        <w:t xml:space="preserve"> DCRP.0</w:t>
      </w:r>
      <w:r w:rsidR="009529CE" w:rsidRPr="00211A96">
        <w:t>660</w:t>
      </w:r>
      <w:r w:rsidR="00B72E1D" w:rsidRPr="00211A96">
        <w:t>,</w:t>
      </w:r>
      <w:r w:rsidR="002F7AE3" w:rsidRPr="00211A96">
        <w:t xml:space="preserve"> DCRP.0</w:t>
      </w:r>
      <w:r w:rsidR="009529CE" w:rsidRPr="00211A96">
        <w:t>661</w:t>
      </w:r>
      <w:r w:rsidR="00B72E1D" w:rsidRPr="00211A96">
        <w:t>,</w:t>
      </w:r>
      <w:r w:rsidR="002F7AE3" w:rsidRPr="00211A96">
        <w:t xml:space="preserve"> DCRP.</w:t>
      </w:r>
      <w:r w:rsidR="009066C3" w:rsidRPr="00211A96">
        <w:t>0676</w:t>
      </w:r>
      <w:r w:rsidR="00B72E1D" w:rsidRPr="00211A96">
        <w:t>,</w:t>
      </w:r>
      <w:r w:rsidR="002F7AE3" w:rsidRPr="00211A96">
        <w:t xml:space="preserve"> DCRP.</w:t>
      </w:r>
      <w:r w:rsidR="009066C3" w:rsidRPr="00211A96">
        <w:t>0677</w:t>
      </w:r>
      <w:r w:rsidR="00A16E7A" w:rsidRPr="00211A96">
        <w:t>, DCRP.0614, DCRP.0615, DCRP.0616, DCRP.0617, DCRP.0618, DCRP.0619, DCRP.0678, DCRP.0679, DCRP.0680, DCRP.0621, DCRP.0681, DCRP.0682, DCRP.0622,</w:t>
      </w:r>
      <w:r w:rsidR="00F04A4B" w:rsidRPr="00211A96">
        <w:t xml:space="preserve"> DCRP.0625, DCRP.0626, DCRP.0627, DCRP.0629, DCRP.0630, DCRP.0683, DCRP.0684, DCRP.0671, DCRP.1610, DCRP.0685, DCRP.0686, DCRP.0687, DCRP.0632, DCRP.0688, DCRP.0633</w:t>
      </w:r>
      <w:r w:rsidR="00417D72" w:rsidRPr="00211A96">
        <w:t>, DCRP.0635, DCRP.0636, DCRP.0637, DCRP.0639, DCRP.0689, DCRP.0690, DCRP.0640, DCRP.0641, DCRP.0643, DCRP.0644, DCRP.0691, DCRP.0692, DCRP.0645, DCRP.0646, DCRP.0647, DCRP.0648, DCRP.0649</w:t>
      </w:r>
      <w:r w:rsidR="004634D7" w:rsidRPr="00211A96">
        <w:t xml:space="preserve">, DCRP.0659, DCRP.0658, DCRP.0662, DCRP.0663, DCRP.0693, DCRP.0664, DCRP.0694, DCRP.0695, DCRP.0696, DCRP.0672, DCRP.0673, DCRP.0674, </w:t>
      </w:r>
      <w:r w:rsidR="004634D7" w:rsidRPr="00FF033B">
        <w:rPr>
          <w:color w:val="000000" w:themeColor="text1"/>
        </w:rPr>
        <w:t xml:space="preserve">DCRP.0697, </w:t>
      </w:r>
      <w:r w:rsidR="00DF212E" w:rsidRPr="007A3C00">
        <w:t xml:space="preserve">DCRP.1611, DCRP.1612, </w:t>
      </w:r>
      <w:r w:rsidR="004634D7" w:rsidRPr="007A3C00">
        <w:t>DCRP</w:t>
      </w:r>
      <w:r w:rsidR="004634D7" w:rsidRPr="00211A96">
        <w:t>.0698, DCRP.0699, DCRP.0665, DCRP.0650</w:t>
      </w:r>
      <w:r w:rsidR="00541C33" w:rsidRPr="00211A96">
        <w:t>, DCRP.1600, DCRP.1601, DCRP.0656, DCRP.0657, DCRP.1602, DCRP.1603, DCRP.1604, DCRP.0654, DCRP.0666, DCRP.0667, DCRP.1606, DCRP.0668</w:t>
      </w:r>
      <w:r w:rsidR="006C64A5">
        <w:t>,</w:t>
      </w:r>
      <w:r w:rsidR="00631551">
        <w:t xml:space="preserve"> </w:t>
      </w:r>
      <w:r w:rsidR="00631551" w:rsidRPr="00093090">
        <w:rPr>
          <w:color w:val="0070C0"/>
          <w:highlight w:val="magenta"/>
        </w:rPr>
        <w:t>DCRP.1614, DCRP.161</w:t>
      </w:r>
      <w:r w:rsidR="00236111" w:rsidRPr="00093090">
        <w:rPr>
          <w:color w:val="0070C0"/>
          <w:highlight w:val="magenta"/>
        </w:rPr>
        <w:t>5,</w:t>
      </w:r>
      <w:r w:rsidR="00631551" w:rsidRPr="00093090">
        <w:rPr>
          <w:color w:val="0070C0"/>
          <w:highlight w:val="magenta"/>
        </w:rPr>
        <w:t xml:space="preserve"> DCRP.161</w:t>
      </w:r>
      <w:r w:rsidR="00236111" w:rsidRPr="00093090">
        <w:rPr>
          <w:color w:val="0070C0"/>
          <w:highlight w:val="magenta"/>
        </w:rPr>
        <w:t>6,</w:t>
      </w:r>
      <w:r w:rsidR="00631551" w:rsidRPr="00093090">
        <w:rPr>
          <w:color w:val="0070C0"/>
          <w:highlight w:val="magenta"/>
        </w:rPr>
        <w:t xml:space="preserve"> DCRP.161</w:t>
      </w:r>
      <w:r w:rsidR="00236111" w:rsidRPr="00093090">
        <w:rPr>
          <w:color w:val="0070C0"/>
          <w:highlight w:val="magenta"/>
        </w:rPr>
        <w:t>7</w:t>
      </w:r>
      <w:r w:rsidR="00DD11AF">
        <w:rPr>
          <w:color w:val="0070C0"/>
          <w:highlight w:val="magenta"/>
        </w:rPr>
        <w:t>,</w:t>
      </w:r>
      <w:r w:rsidR="00DD11AF" w:rsidRPr="00DD11AF">
        <w:rPr>
          <w:color w:val="0070C0"/>
          <w:highlight w:val="magenta"/>
        </w:rPr>
        <w:t xml:space="preserve"> </w:t>
      </w:r>
      <w:r w:rsidR="00DD11AF" w:rsidRPr="00C23F78">
        <w:rPr>
          <w:color w:val="0070C0"/>
          <w:highlight w:val="red"/>
        </w:rPr>
        <w:t>DCRP.1619, DCRP.16</w:t>
      </w:r>
      <w:r w:rsidR="00C23F78" w:rsidRPr="00C23F78">
        <w:rPr>
          <w:color w:val="0070C0"/>
          <w:highlight w:val="red"/>
        </w:rPr>
        <w:t>20</w:t>
      </w:r>
      <w:r w:rsidR="002F7AE3" w:rsidRPr="00211A96">
        <w:t>”</w:t>
      </w:r>
      <w:r w:rsidR="00F60AC7" w:rsidRPr="00211A96">
        <w:t xml:space="preserve">, </w:t>
      </w:r>
      <w:r w:rsidR="00F60AC7" w:rsidRPr="00211A96">
        <w:rPr>
          <w:b/>
          <w:bCs/>
          <w:u w:val="single"/>
        </w:rPr>
        <w:t>menores que zero</w:t>
      </w:r>
      <w:r w:rsidR="00F60AC7" w:rsidRPr="00211A96">
        <w:t>,</w:t>
      </w:r>
      <w:r w:rsidR="002F7AE3" w:rsidRPr="00211A96">
        <w:t xml:space="preserve"> do DEMONSTRATIVO DA DISPONIBILIDADE DE CAIXA E DOS RESTOS A PAGAR </w:t>
      </w:r>
      <w:r w:rsidR="002F7AE3" w:rsidRPr="00211A96">
        <w:rPr>
          <w:b/>
          <w:bCs/>
        </w:rPr>
        <w:t>Poder Executivo</w:t>
      </w:r>
      <w:r w:rsidR="002F7AE3" w:rsidRPr="00211A96">
        <w:t xml:space="preserve"> (RGF – ANEXO 5, da LRF, art. 55, Inciso III, alínea "a" e "b"), versão mensal do Demonstrativo, do mês de referência (1 a 11, e 13) da geração do indicador.</w:t>
      </w:r>
    </w:p>
    <w:p w14:paraId="709D3E89" w14:textId="1A51C2DA" w:rsidR="00C85EE7" w:rsidRPr="00211A96" w:rsidRDefault="00C85EE7" w:rsidP="00A54827">
      <w:pPr>
        <w:jc w:val="both"/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.RCL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u w:val="single"/>
        </w:rPr>
        <w:t xml:space="preserve"> Receita Corrente Líquida</w:t>
      </w:r>
      <w:r w:rsidRPr="00211A96">
        <w:t xml:space="preserve"> = Pegar o componente “RCL.029” do DEMONSTRATIVO DA RECEITA CORRENTE LÍQUIDA (RREO - Anexo 3, da LRF, art. 53, inciso I), do mês de referência (1 a 12) da geração do indicador.</w:t>
      </w:r>
    </w:p>
    <w:p w14:paraId="2D2A4E19" w14:textId="77777777" w:rsidR="00284821" w:rsidRPr="00B800D3" w:rsidRDefault="00284821" w:rsidP="00A54827">
      <w:pPr>
        <w:jc w:val="both"/>
        <w:rPr>
          <w:color w:val="0070C0"/>
          <w:sz w:val="16"/>
          <w:szCs w:val="16"/>
          <w:highlight w:val="lightGray"/>
        </w:rPr>
      </w:pPr>
    </w:p>
    <w:p w14:paraId="331541EB" w14:textId="7F0623B4" w:rsidR="00284821" w:rsidRPr="00211A96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LR = </w:t>
      </w:r>
      <w:r w:rsidR="0093200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Disponibilidade de Caixa Bruta - </w:t>
      </w: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Obrigações Financeiras</w:t>
      </w:r>
      <w:r w:rsidR="006D57D4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+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8419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nsuficiências de </w:t>
      </w:r>
      <w:r w:rsidR="00C8419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aixa em </w:t>
      </w:r>
      <w:r w:rsidR="00710A1E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FRV</w:t>
      </w: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</w:t>
      </w:r>
    </w:p>
    <w:p w14:paraId="518EA3B8" w14:textId="70212F5D" w:rsidR="00284821" w:rsidRPr="00211A96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="002E44CB"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Receita Corrente Líquida</w:t>
      </w:r>
    </w:p>
    <w:p w14:paraId="626BED6B" w14:textId="77777777" w:rsidR="007758AB" w:rsidRPr="00211A96" w:rsidRDefault="007758AB" w:rsidP="00302E70">
      <w:pPr>
        <w:rPr>
          <w:b/>
          <w:bCs/>
          <w:sz w:val="16"/>
          <w:szCs w:val="16"/>
        </w:rPr>
      </w:pPr>
    </w:p>
    <w:p w14:paraId="033E6729" w14:textId="7ABDE7A0" w:rsidR="00903E0A" w:rsidRPr="00211A96" w:rsidRDefault="00AC3F36" w:rsidP="00302E70">
      <w:r w:rsidRPr="00211A96">
        <w:rPr>
          <w:b/>
          <w:bCs/>
        </w:rPr>
        <w:t>Nota</w:t>
      </w:r>
      <w:r w:rsidRPr="00211A96">
        <w:t xml:space="preserve">: observar que o </w:t>
      </w:r>
      <w:r w:rsidR="007439C1" w:rsidRPr="00211A96">
        <w:rPr>
          <w:b/>
          <w:bCs/>
        </w:rPr>
        <w:t>“</w:t>
      </w:r>
      <w:r w:rsidR="0043726D" w:rsidRPr="00211A96">
        <w:rPr>
          <w:b/>
          <w:bCs/>
        </w:rPr>
        <w:t xml:space="preserve">Componente </w:t>
      </w:r>
      <w:proofErr w:type="spellStart"/>
      <w:r w:rsidR="0043726D" w:rsidRPr="00211A96">
        <w:rPr>
          <w:b/>
          <w:bCs/>
        </w:rPr>
        <w:t>LiquidezRelativa.ICFRV</w:t>
      </w:r>
      <w:proofErr w:type="spellEnd"/>
      <w:r w:rsidR="007439C1" w:rsidRPr="00211A96">
        <w:rPr>
          <w:b/>
          <w:bCs/>
        </w:rPr>
        <w:t>”</w:t>
      </w:r>
      <w:r w:rsidR="0043726D" w:rsidRPr="00211A96">
        <w:t xml:space="preserve"> é um valor negativo.</w:t>
      </w:r>
    </w:p>
    <w:p w14:paraId="35BC91CA" w14:textId="77777777" w:rsidR="00903E0A" w:rsidRPr="00211A96" w:rsidRDefault="00903E0A" w:rsidP="00302E70">
      <w:pPr>
        <w:rPr>
          <w:b/>
          <w:bCs/>
          <w:sz w:val="16"/>
          <w:szCs w:val="16"/>
          <w:u w:val="single"/>
        </w:rPr>
      </w:pPr>
    </w:p>
    <w:p w14:paraId="1D4A3FB1" w14:textId="7A23BA1C" w:rsidR="00302E70" w:rsidRPr="00211A96" w:rsidRDefault="00302E70" w:rsidP="00302E70">
      <w:pPr>
        <w:rPr>
          <w:b/>
          <w:bCs/>
          <w:sz w:val="28"/>
          <w:szCs w:val="28"/>
          <w:u w:val="single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.Nota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sz w:val="28"/>
          <w:szCs w:val="28"/>
          <w:u w:val="single"/>
        </w:rPr>
        <w:t xml:space="preserve"> Nota do Indicador de Liquide</w:t>
      </w:r>
      <w:r w:rsidR="00513F56" w:rsidRPr="00211A96">
        <w:rPr>
          <w:b/>
          <w:bCs/>
          <w:sz w:val="28"/>
          <w:szCs w:val="28"/>
          <w:u w:val="single"/>
        </w:rPr>
        <w:t xml:space="preserve">z Relativa </w:t>
      </w:r>
      <w:r w:rsidRPr="00211A96">
        <w:rPr>
          <w:b/>
          <w:bCs/>
          <w:sz w:val="28"/>
          <w:szCs w:val="28"/>
          <w:u w:val="single"/>
        </w:rPr>
        <w:t xml:space="preserve"> </w:t>
      </w:r>
    </w:p>
    <w:p w14:paraId="00D02B62" w14:textId="646E5ED8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</w:t>
      </w:r>
      <w:r w:rsidR="00443553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</w:t>
      </w:r>
      <w:r w:rsidR="00CB6260" w:rsidRPr="00211A96">
        <w:rPr>
          <w:rFonts w:cstheme="minorHAnsi"/>
          <w:sz w:val="28"/>
          <w:szCs w:val="28"/>
        </w:rPr>
        <w:t>≥</w:t>
      </w:r>
      <w:r w:rsidRPr="00211A96">
        <w:rPr>
          <w:sz w:val="28"/>
          <w:szCs w:val="28"/>
        </w:rPr>
        <w:t xml:space="preserve"> 0,</w:t>
      </w:r>
      <w:r w:rsidR="00CB6260" w:rsidRPr="00211A96">
        <w:rPr>
          <w:sz w:val="28"/>
          <w:szCs w:val="28"/>
        </w:rPr>
        <w:t>05</w:t>
      </w:r>
      <w:r w:rsidRPr="00211A96">
        <w:rPr>
          <w:sz w:val="28"/>
          <w:szCs w:val="28"/>
        </w:rPr>
        <w:t xml:space="preserve">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CB6260" w:rsidRPr="00211A96">
        <w:rPr>
          <w:sz w:val="28"/>
          <w:szCs w:val="28"/>
        </w:rPr>
        <w:t>a</w:t>
      </w:r>
      <w:r w:rsidRPr="00211A96">
        <w:rPr>
          <w:sz w:val="28"/>
          <w:szCs w:val="28"/>
        </w:rPr>
        <w:t xml:space="preserve"> </w:t>
      </w:r>
      <w:r w:rsidR="00CB6260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= “A”; </w:t>
      </w:r>
    </w:p>
    <w:p w14:paraId="4D1CFD48" w14:textId="3AF1847F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0 </w:t>
      </w:r>
      <w:r w:rsidR="00DE4ADC" w:rsidRPr="00211A96">
        <w:rPr>
          <w:sz w:val="28"/>
          <w:szCs w:val="28"/>
        </w:rPr>
        <w:t>&lt;</w:t>
      </w:r>
      <w:r w:rsidRPr="00211A96">
        <w:rPr>
          <w:rFonts w:cstheme="minorHAnsi"/>
          <w:sz w:val="28"/>
          <w:szCs w:val="28"/>
        </w:rPr>
        <w:t xml:space="preserve"> </w:t>
      </w:r>
      <w:r w:rsidR="00DE4ADC" w:rsidRPr="00211A96">
        <w:rPr>
          <w:rFonts w:cstheme="minorHAnsi"/>
          <w:sz w:val="28"/>
          <w:szCs w:val="28"/>
        </w:rPr>
        <w:t>LR</w:t>
      </w:r>
      <w:r w:rsidRPr="00211A96">
        <w:rPr>
          <w:sz w:val="28"/>
          <w:szCs w:val="28"/>
        </w:rPr>
        <w:t xml:space="preserve"> &lt; 0,</w:t>
      </w:r>
      <w:r w:rsidR="00DE4ADC" w:rsidRPr="00211A96">
        <w:rPr>
          <w:sz w:val="28"/>
          <w:szCs w:val="28"/>
        </w:rPr>
        <w:t>05</w:t>
      </w:r>
      <w:r w:rsidRPr="00211A96">
        <w:rPr>
          <w:sz w:val="28"/>
          <w:szCs w:val="28"/>
        </w:rPr>
        <w:t xml:space="preserve">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B93B77" w:rsidRPr="00211A96">
        <w:rPr>
          <w:sz w:val="28"/>
          <w:szCs w:val="28"/>
        </w:rPr>
        <w:t>a</w:t>
      </w:r>
      <w:r w:rsidRPr="00211A96">
        <w:rPr>
          <w:sz w:val="28"/>
          <w:szCs w:val="28"/>
        </w:rPr>
        <w:t xml:space="preserve"> </w:t>
      </w:r>
      <w:r w:rsidR="00B93B77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= “B”;</w:t>
      </w:r>
    </w:p>
    <w:p w14:paraId="6C2D9337" w14:textId="12D05E7C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</w:t>
      </w:r>
      <w:r w:rsidR="002B68F4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</w:t>
      </w:r>
      <w:r w:rsidR="002B68F4" w:rsidRPr="00211A96">
        <w:rPr>
          <w:rFonts w:cstheme="minorHAnsi"/>
          <w:sz w:val="28"/>
          <w:szCs w:val="28"/>
        </w:rPr>
        <w:t>≤</w:t>
      </w:r>
      <w:r w:rsidRPr="00211A96">
        <w:rPr>
          <w:sz w:val="28"/>
          <w:szCs w:val="28"/>
        </w:rPr>
        <w:t xml:space="preserve"> 0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94430A" w:rsidRPr="00211A96">
        <w:rPr>
          <w:sz w:val="28"/>
          <w:szCs w:val="28"/>
        </w:rPr>
        <w:t>a LR</w:t>
      </w:r>
      <w:r w:rsidRPr="00211A96">
        <w:rPr>
          <w:sz w:val="28"/>
          <w:szCs w:val="28"/>
        </w:rPr>
        <w:t xml:space="preserve"> = “C”;</w:t>
      </w:r>
    </w:p>
    <w:p w14:paraId="74D09424" w14:textId="77777777" w:rsidR="007B63F6" w:rsidRPr="00211A96" w:rsidRDefault="007B63F6" w:rsidP="00A57B18">
      <w:pPr>
        <w:rPr>
          <w:sz w:val="16"/>
          <w:szCs w:val="16"/>
        </w:rPr>
      </w:pPr>
    </w:p>
    <w:p w14:paraId="08D3B823" w14:textId="77777777" w:rsidR="007A0648" w:rsidRPr="00211A96" w:rsidRDefault="007A0648" w:rsidP="007A0648">
      <w:pPr>
        <w:rPr>
          <w:b/>
          <w:bCs/>
          <w:sz w:val="32"/>
          <w:szCs w:val="32"/>
          <w:u w:val="single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Pr="00211A96">
        <w:rPr>
          <w:b/>
          <w:bCs/>
          <w:highlight w:val="green"/>
          <w:u w:val="single"/>
        </w:rPr>
        <w:t>CAPAG.Nota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sz w:val="32"/>
          <w:szCs w:val="32"/>
          <w:u w:val="single"/>
        </w:rPr>
        <w:t xml:space="preserve"> Nota final da CAPAG</w:t>
      </w:r>
    </w:p>
    <w:p w14:paraId="3D4BD535" w14:textId="77DE2EEC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“A”, PC = “A” e </w:t>
      </w:r>
      <w:r w:rsidR="00F348CE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6D078235" w14:textId="6E8DAFE1" w:rsidR="006C6AA7" w:rsidRPr="00211A96" w:rsidRDefault="00F348CE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“A”, PC = “</w:t>
      </w:r>
      <w:r w:rsidR="00FE335F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e LR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2C8810EB" w14:textId="5ED0FED2" w:rsidR="006C6AA7" w:rsidRPr="00211A96" w:rsidRDefault="00F348CE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“A”, PC = “A” e LR= “</w:t>
      </w:r>
      <w:r w:rsidR="00FE335F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213F1877" w14:textId="50BEE251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“B”, PC = “A”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C9A4847" w14:textId="4B57CFEE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“C”, PC = “A”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15D3845E" w14:textId="0EE25F22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”, PC = “B”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6E89C2F1" w14:textId="44F87472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 xml:space="preserve">”, PC = “B”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36088B9E" w14:textId="1C82E6A9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”, PC = “</w:t>
      </w:r>
      <w:r w:rsidR="000566BC" w:rsidRPr="00211A96">
        <w:rPr>
          <w:sz w:val="32"/>
          <w:szCs w:val="32"/>
        </w:rPr>
        <w:t>A</w:t>
      </w:r>
      <w:r w:rsidRPr="00211A96">
        <w:rPr>
          <w:sz w:val="32"/>
          <w:szCs w:val="32"/>
        </w:rPr>
        <w:t xml:space="preserve">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>= “</w:t>
      </w:r>
      <w:r w:rsidR="005D5942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9197591" w14:textId="3D90DF85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>”, PC = “A” e LR = “</w:t>
      </w:r>
      <w:r w:rsidR="005D5942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30BFE1E4" w14:textId="1F7B9A8B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A</w:t>
      </w:r>
      <w:r w:rsidRPr="00211A96">
        <w:rPr>
          <w:sz w:val="32"/>
          <w:szCs w:val="32"/>
        </w:rPr>
        <w:t>”, PC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 e LR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4C49B3BB" w14:textId="4FFCCD8F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”, PC = “B” e LR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4280E6D9" w14:textId="71385477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>”, PC = “B” e LR=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0E0EDD1" w14:textId="3ECF29FE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“C”, PC = “C” e </w:t>
      </w:r>
      <w:r w:rsidR="002A5126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“C”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“D”;</w:t>
      </w:r>
    </w:p>
    <w:p w14:paraId="50100DFE" w14:textId="77777777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</w:t>
      </w:r>
      <w:r w:rsidRPr="00211A96">
        <w:rPr>
          <w:b/>
          <w:bCs/>
          <w:sz w:val="32"/>
          <w:szCs w:val="32"/>
          <w:u w:val="single"/>
        </w:rPr>
        <w:t>Senão</w:t>
      </w:r>
      <w:r w:rsidRPr="00211A96">
        <w:rPr>
          <w:sz w:val="32"/>
          <w:szCs w:val="32"/>
        </w:rPr>
        <w:t xml:space="preserve"> CAPAG = “C” (ou seja, qualquer outra combinação </w:t>
      </w:r>
      <w:r w:rsidRPr="00211A96">
        <w:rPr>
          <w:rFonts w:ascii="Arial" w:hAnsi="Arial" w:cs="Arial"/>
          <w:sz w:val="32"/>
          <w:szCs w:val="32"/>
        </w:rPr>
        <w:t>≠</w:t>
      </w:r>
      <w:r w:rsidRPr="00211A96">
        <w:rPr>
          <w:rFonts w:cstheme="minorHAnsi"/>
          <w:sz w:val="32"/>
          <w:szCs w:val="32"/>
        </w:rPr>
        <w:t xml:space="preserve"> das combinações acima).</w:t>
      </w:r>
    </w:p>
    <w:p w14:paraId="12F5A36B" w14:textId="77777777" w:rsidR="007A0648" w:rsidRPr="00211A96" w:rsidRDefault="007A0648" w:rsidP="007A0648">
      <w:pPr>
        <w:rPr>
          <w:sz w:val="32"/>
          <w:szCs w:val="32"/>
        </w:rPr>
      </w:pPr>
    </w:p>
    <w:p w14:paraId="748AEC27" w14:textId="4F861FDB" w:rsidR="007A0648" w:rsidRPr="00211A96" w:rsidRDefault="007A0648" w:rsidP="007A0648">
      <w:pPr>
        <w:rPr>
          <w:b/>
          <w:bCs/>
        </w:rPr>
      </w:pPr>
      <w:r w:rsidRPr="00211A96">
        <w:rPr>
          <w:b/>
          <w:bCs/>
        </w:rPr>
        <w:t xml:space="preserve">Tabelas de Notas conforme artigos 3º e 4º da </w:t>
      </w:r>
      <w:r w:rsidR="00B0354F" w:rsidRPr="00211A96">
        <w:rPr>
          <w:b/>
          <w:bCs/>
        </w:rPr>
        <w:t>PORTARIA NORMATIVA MF Nº 1.583, DE 13 DE DEZEMBRO DE 2023</w:t>
      </w:r>
      <w:r w:rsidRPr="00211A96">
        <w:rPr>
          <w:b/>
          <w:bCs/>
        </w:rPr>
        <w:t>.</w:t>
      </w:r>
    </w:p>
    <w:p w14:paraId="10927B6C" w14:textId="77777777" w:rsidR="007A0648" w:rsidRPr="00211A96" w:rsidRDefault="007A0648" w:rsidP="007A0648">
      <w:pPr>
        <w:rPr>
          <w:noProof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851"/>
        <w:gridCol w:w="2268"/>
        <w:gridCol w:w="2126"/>
      </w:tblGrid>
      <w:tr w:rsidR="00211A96" w:rsidRPr="00211A96" w14:paraId="2067F2F7" w14:textId="77777777">
        <w:trPr>
          <w:trHeight w:val="691"/>
        </w:trPr>
        <w:tc>
          <w:tcPr>
            <w:tcW w:w="1842" w:type="dxa"/>
          </w:tcPr>
          <w:p w14:paraId="7EB14ABD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8D3FF3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Indicador</w:t>
            </w:r>
          </w:p>
        </w:tc>
        <w:tc>
          <w:tcPr>
            <w:tcW w:w="851" w:type="dxa"/>
          </w:tcPr>
          <w:p w14:paraId="2FDB40E5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554F29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Sigla</w:t>
            </w:r>
          </w:p>
        </w:tc>
        <w:tc>
          <w:tcPr>
            <w:tcW w:w="2268" w:type="dxa"/>
          </w:tcPr>
          <w:p w14:paraId="28CA93B0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909ED3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Faixas de Valor</w:t>
            </w:r>
          </w:p>
        </w:tc>
        <w:tc>
          <w:tcPr>
            <w:tcW w:w="2126" w:type="dxa"/>
          </w:tcPr>
          <w:p w14:paraId="0D2A0755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Parcial</w:t>
            </w:r>
          </w:p>
        </w:tc>
      </w:tr>
      <w:tr w:rsidR="00211A96" w:rsidRPr="00211A96" w14:paraId="2448D212" w14:textId="77777777">
        <w:trPr>
          <w:trHeight w:val="403"/>
        </w:trPr>
        <w:tc>
          <w:tcPr>
            <w:tcW w:w="1842" w:type="dxa"/>
            <w:vMerge w:val="restart"/>
          </w:tcPr>
          <w:p w14:paraId="4EE0B237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1D21C292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333225AB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Endividamento</w:t>
            </w:r>
          </w:p>
        </w:tc>
        <w:tc>
          <w:tcPr>
            <w:tcW w:w="851" w:type="dxa"/>
            <w:vMerge w:val="restart"/>
          </w:tcPr>
          <w:p w14:paraId="25DBE7AA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005336BC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136772D6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2268" w:type="dxa"/>
          </w:tcPr>
          <w:p w14:paraId="02AD397D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 &lt; 60%</w:t>
            </w:r>
          </w:p>
        </w:tc>
        <w:tc>
          <w:tcPr>
            <w:tcW w:w="2126" w:type="dxa"/>
          </w:tcPr>
          <w:p w14:paraId="4A8325AA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28704935" w14:textId="77777777">
        <w:trPr>
          <w:trHeight w:val="425"/>
        </w:trPr>
        <w:tc>
          <w:tcPr>
            <w:tcW w:w="1842" w:type="dxa"/>
            <w:vMerge/>
          </w:tcPr>
          <w:p w14:paraId="18AFBB08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28A6E81E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2381F2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60% ≤ DC &lt; 100%</w:t>
            </w:r>
          </w:p>
        </w:tc>
        <w:tc>
          <w:tcPr>
            <w:tcW w:w="2126" w:type="dxa"/>
          </w:tcPr>
          <w:p w14:paraId="3B3CD97C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1ACC1084" w14:textId="77777777">
        <w:trPr>
          <w:trHeight w:val="419"/>
        </w:trPr>
        <w:tc>
          <w:tcPr>
            <w:tcW w:w="1842" w:type="dxa"/>
            <w:vMerge/>
          </w:tcPr>
          <w:p w14:paraId="76B543F4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22FCCF58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7AB256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 ≥ 100%</w:t>
            </w:r>
          </w:p>
        </w:tc>
        <w:tc>
          <w:tcPr>
            <w:tcW w:w="2126" w:type="dxa"/>
          </w:tcPr>
          <w:p w14:paraId="5BC7CB38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  <w:tr w:rsidR="00211A96" w:rsidRPr="00211A96" w14:paraId="3A7EFD95" w14:textId="77777777">
        <w:trPr>
          <w:trHeight w:val="408"/>
        </w:trPr>
        <w:tc>
          <w:tcPr>
            <w:tcW w:w="1842" w:type="dxa"/>
            <w:vMerge w:val="restart"/>
          </w:tcPr>
          <w:p w14:paraId="21A26462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6DF1C191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Poupança Corrente</w:t>
            </w:r>
          </w:p>
        </w:tc>
        <w:tc>
          <w:tcPr>
            <w:tcW w:w="851" w:type="dxa"/>
            <w:vMerge w:val="restart"/>
          </w:tcPr>
          <w:p w14:paraId="6E9BB9D4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6734F86B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762B0B31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2268" w:type="dxa"/>
          </w:tcPr>
          <w:p w14:paraId="6C594D56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 &lt; 85%</w:t>
            </w:r>
          </w:p>
        </w:tc>
        <w:tc>
          <w:tcPr>
            <w:tcW w:w="2126" w:type="dxa"/>
          </w:tcPr>
          <w:p w14:paraId="38F8C3D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64473F9F" w14:textId="77777777">
        <w:trPr>
          <w:trHeight w:val="414"/>
        </w:trPr>
        <w:tc>
          <w:tcPr>
            <w:tcW w:w="1842" w:type="dxa"/>
            <w:vMerge/>
          </w:tcPr>
          <w:p w14:paraId="34D3001E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1DB84136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0AA84F1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85% ≤ PC &lt; 95%</w:t>
            </w:r>
          </w:p>
        </w:tc>
        <w:tc>
          <w:tcPr>
            <w:tcW w:w="2126" w:type="dxa"/>
          </w:tcPr>
          <w:p w14:paraId="68BAE099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049D2EC6" w14:textId="77777777">
        <w:trPr>
          <w:trHeight w:val="420"/>
        </w:trPr>
        <w:tc>
          <w:tcPr>
            <w:tcW w:w="1842" w:type="dxa"/>
            <w:vMerge/>
          </w:tcPr>
          <w:p w14:paraId="1C60A223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238D75B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9AA9235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 ≥ 95%</w:t>
            </w:r>
          </w:p>
        </w:tc>
        <w:tc>
          <w:tcPr>
            <w:tcW w:w="2126" w:type="dxa"/>
          </w:tcPr>
          <w:p w14:paraId="3FB7AE0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  <w:tr w:rsidR="00211A96" w:rsidRPr="00211A96" w14:paraId="04BC5BDA" w14:textId="77777777">
        <w:trPr>
          <w:trHeight w:val="412"/>
        </w:trPr>
        <w:tc>
          <w:tcPr>
            <w:tcW w:w="1842" w:type="dxa"/>
            <w:vMerge w:val="restart"/>
          </w:tcPr>
          <w:p w14:paraId="1D1813AF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  <w:p w14:paraId="3FFB3A9D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  <w:p w14:paraId="3FB7EB6E" w14:textId="53782C88" w:rsidR="00694525" w:rsidRPr="00211A96" w:rsidRDefault="00694525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Liquidez</w:t>
            </w:r>
            <w:r w:rsidR="000D54D7" w:rsidRPr="00211A96">
              <w:rPr>
                <w:rFonts w:ascii="Times New Roman" w:hAnsi="Times New Roman" w:cs="Times New Roman"/>
              </w:rPr>
              <w:t xml:space="preserve"> Relativa</w:t>
            </w:r>
          </w:p>
        </w:tc>
        <w:tc>
          <w:tcPr>
            <w:tcW w:w="851" w:type="dxa"/>
            <w:vMerge w:val="restart"/>
          </w:tcPr>
          <w:p w14:paraId="0DCFA00C" w14:textId="77777777" w:rsidR="00694525" w:rsidRPr="00211A96" w:rsidRDefault="00694525">
            <w:pPr>
              <w:jc w:val="center"/>
              <w:rPr>
                <w:rFonts w:ascii="Times New Roman" w:hAnsi="Times New Roman" w:cs="Times New Roman"/>
              </w:rPr>
            </w:pPr>
          </w:p>
          <w:p w14:paraId="1EB62F60" w14:textId="77777777" w:rsidR="000D54D7" w:rsidRPr="00211A96" w:rsidRDefault="000D54D7">
            <w:pPr>
              <w:jc w:val="center"/>
              <w:rPr>
                <w:rFonts w:ascii="Times New Roman" w:hAnsi="Times New Roman" w:cs="Times New Roman"/>
              </w:rPr>
            </w:pPr>
          </w:p>
          <w:p w14:paraId="713BB1F7" w14:textId="6854F47A" w:rsidR="00694525" w:rsidRPr="00211A96" w:rsidRDefault="00694525" w:rsidP="000D54D7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</w:t>
            </w:r>
            <w:r w:rsidR="000D54D7" w:rsidRPr="00211A9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2268" w:type="dxa"/>
          </w:tcPr>
          <w:p w14:paraId="1A27471F" w14:textId="06358133" w:rsidR="00694525" w:rsidRPr="00211A96" w:rsidRDefault="00D81950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LR ≥ 5%</w:t>
            </w:r>
          </w:p>
        </w:tc>
        <w:tc>
          <w:tcPr>
            <w:tcW w:w="2126" w:type="dxa"/>
          </w:tcPr>
          <w:p w14:paraId="6FE0236F" w14:textId="77777777" w:rsidR="00694525" w:rsidRPr="00211A96" w:rsidRDefault="00694525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03DFC3D4" w14:textId="77777777">
        <w:trPr>
          <w:trHeight w:val="416"/>
        </w:trPr>
        <w:tc>
          <w:tcPr>
            <w:tcW w:w="1842" w:type="dxa"/>
            <w:vMerge/>
          </w:tcPr>
          <w:p w14:paraId="491C7DDB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65151538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4DBFD4D" w14:textId="0A349C18" w:rsidR="00694525" w:rsidRPr="00211A96" w:rsidRDefault="008435DD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 xml:space="preserve">0 &lt; LR &lt; </w:t>
            </w:r>
            <w:r w:rsidR="00167E59" w:rsidRPr="00211A96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2126" w:type="dxa"/>
          </w:tcPr>
          <w:p w14:paraId="36916BC2" w14:textId="1B495640" w:rsidR="00694525" w:rsidRPr="00211A96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694525" w:rsidRPr="00211A96" w14:paraId="4BAF4A3E" w14:textId="77777777">
        <w:trPr>
          <w:trHeight w:val="416"/>
        </w:trPr>
        <w:tc>
          <w:tcPr>
            <w:tcW w:w="1842" w:type="dxa"/>
            <w:vMerge/>
          </w:tcPr>
          <w:p w14:paraId="3D27B2D9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370515B6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91EA9A7" w14:textId="2CB98359" w:rsidR="00694525" w:rsidRPr="00211A96" w:rsidRDefault="00685A07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LR</w:t>
            </w:r>
            <w:r w:rsidR="00ED7306" w:rsidRPr="00211A96">
              <w:rPr>
                <w:rFonts w:ascii="Times New Roman" w:hAnsi="Times New Roman" w:cs="Times New Roman"/>
              </w:rPr>
              <w:t xml:space="preserve"> ≤ </w:t>
            </w:r>
            <w:r w:rsidRPr="00211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85F50E6" w14:textId="677E9742" w:rsidR="00694525" w:rsidRPr="00211A96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</w:tbl>
    <w:p w14:paraId="3A684108" w14:textId="77777777" w:rsidR="00A816D9" w:rsidRPr="00211A96" w:rsidRDefault="00A816D9" w:rsidP="00A816D9"/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2160"/>
        <w:gridCol w:w="1843"/>
        <w:gridCol w:w="1378"/>
        <w:gridCol w:w="3219"/>
      </w:tblGrid>
      <w:tr w:rsidR="00211A96" w:rsidRPr="00211A96" w14:paraId="1D6421E9" w14:textId="77777777" w:rsidTr="00887C94">
        <w:trPr>
          <w:trHeight w:val="436"/>
        </w:trPr>
        <w:tc>
          <w:tcPr>
            <w:tcW w:w="5381" w:type="dxa"/>
            <w:gridSpan w:val="3"/>
          </w:tcPr>
          <w:p w14:paraId="460F43DF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PARCIAL DO INDICADOR</w:t>
            </w:r>
          </w:p>
        </w:tc>
        <w:tc>
          <w:tcPr>
            <w:tcW w:w="3219" w:type="dxa"/>
            <w:vMerge w:val="restart"/>
          </w:tcPr>
          <w:p w14:paraId="52ABA19F" w14:textId="77777777" w:rsidR="00A650B5" w:rsidRPr="00211A96" w:rsidRDefault="00A650B5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FINAL DA CAPACIDADE DE PAGAMENTO</w:t>
            </w:r>
          </w:p>
        </w:tc>
      </w:tr>
      <w:tr w:rsidR="00211A96" w:rsidRPr="00211A96" w14:paraId="62B62C6D" w14:textId="77777777" w:rsidTr="00887C94">
        <w:trPr>
          <w:trHeight w:val="683"/>
        </w:trPr>
        <w:tc>
          <w:tcPr>
            <w:tcW w:w="2160" w:type="dxa"/>
          </w:tcPr>
          <w:p w14:paraId="2575B69F" w14:textId="77777777" w:rsidR="00A650B5" w:rsidRPr="00211A96" w:rsidRDefault="00A650B5">
            <w:pPr>
              <w:spacing w:before="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ENDIVIDAMENTO</w:t>
            </w:r>
          </w:p>
        </w:tc>
        <w:tc>
          <w:tcPr>
            <w:tcW w:w="1843" w:type="dxa"/>
          </w:tcPr>
          <w:p w14:paraId="2FEBB679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POUPANÇA CORRENTE</w:t>
            </w:r>
          </w:p>
        </w:tc>
        <w:tc>
          <w:tcPr>
            <w:tcW w:w="1378" w:type="dxa"/>
          </w:tcPr>
          <w:p w14:paraId="00C40917" w14:textId="2F274FEF" w:rsidR="00A650B5" w:rsidRPr="00211A96" w:rsidRDefault="00A650B5" w:rsidP="00567802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LIQUIDEZ</w:t>
            </w:r>
            <w:r w:rsidR="00567802" w:rsidRPr="00211A96">
              <w:rPr>
                <w:rFonts w:ascii="Times New Roman" w:hAnsi="Times New Roman" w:cs="Times New Roman"/>
                <w:b/>
                <w:bCs/>
              </w:rPr>
              <w:t xml:space="preserve"> RELATIVA</w:t>
            </w:r>
          </w:p>
        </w:tc>
        <w:tc>
          <w:tcPr>
            <w:tcW w:w="3219" w:type="dxa"/>
            <w:vMerge/>
          </w:tcPr>
          <w:p w14:paraId="7B9D759E" w14:textId="77777777" w:rsidR="00A650B5" w:rsidRPr="00211A96" w:rsidRDefault="00A650B5">
            <w:pPr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D88A46A" w14:textId="77777777" w:rsidTr="00887C94">
        <w:trPr>
          <w:trHeight w:val="408"/>
        </w:trPr>
        <w:tc>
          <w:tcPr>
            <w:tcW w:w="2160" w:type="dxa"/>
          </w:tcPr>
          <w:p w14:paraId="01D34AE9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21ED830B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2FC911E5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 w:val="restart"/>
          </w:tcPr>
          <w:p w14:paraId="2FA848E7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FC040F4" w14:textId="1FD0FDE0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3181009D" w14:textId="77777777" w:rsidTr="00887C94">
        <w:trPr>
          <w:trHeight w:val="416"/>
        </w:trPr>
        <w:tc>
          <w:tcPr>
            <w:tcW w:w="2160" w:type="dxa"/>
          </w:tcPr>
          <w:p w14:paraId="0485DF67" w14:textId="2C6E8D9E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1ED813FD" w14:textId="178CD2DC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628392C5" w14:textId="67A9D974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6CA282CE" w14:textId="7A0824FB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EAB3103" w14:textId="77777777" w:rsidTr="00887C94">
        <w:trPr>
          <w:trHeight w:val="416"/>
        </w:trPr>
        <w:tc>
          <w:tcPr>
            <w:tcW w:w="2160" w:type="dxa"/>
          </w:tcPr>
          <w:p w14:paraId="326F9359" w14:textId="257FBC54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7D7491D9" w14:textId="3068A1D5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7C0C2DD6" w14:textId="39152E83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A475C41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E8F15E2" w14:textId="77777777" w:rsidTr="00887C94">
        <w:trPr>
          <w:trHeight w:val="416"/>
        </w:trPr>
        <w:tc>
          <w:tcPr>
            <w:tcW w:w="2160" w:type="dxa"/>
          </w:tcPr>
          <w:p w14:paraId="2883FC42" w14:textId="7F49978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6A714458" w14:textId="031C9D1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1657D20B" w14:textId="032DDFB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 w:val="restart"/>
          </w:tcPr>
          <w:p w14:paraId="35EE934B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2B8F00A2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0F5B49C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0BD34C55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2219CF4" w14:textId="2D1EA60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6A046B83" w14:textId="77777777" w:rsidTr="00887C94">
        <w:trPr>
          <w:trHeight w:val="416"/>
        </w:trPr>
        <w:tc>
          <w:tcPr>
            <w:tcW w:w="2160" w:type="dxa"/>
          </w:tcPr>
          <w:p w14:paraId="72473F63" w14:textId="45477FBF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3257B353" w14:textId="7BC432D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69874274" w14:textId="11ED3499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050D4B0A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75EB6A2" w14:textId="77777777" w:rsidTr="00887C94">
        <w:trPr>
          <w:trHeight w:val="416"/>
        </w:trPr>
        <w:tc>
          <w:tcPr>
            <w:tcW w:w="2160" w:type="dxa"/>
          </w:tcPr>
          <w:p w14:paraId="1117BC6E" w14:textId="62FC8A8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56A48208" w14:textId="30DEF24B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001D3DFC" w14:textId="54078A6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7CDF8E30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62B03EB3" w14:textId="77777777" w:rsidTr="00887C94">
        <w:trPr>
          <w:trHeight w:val="416"/>
        </w:trPr>
        <w:tc>
          <w:tcPr>
            <w:tcW w:w="2160" w:type="dxa"/>
          </w:tcPr>
          <w:p w14:paraId="77913BFD" w14:textId="0D5BCD4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19B762A2" w14:textId="7401FAC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2B4F8EEF" w14:textId="40548FF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262B3580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77D4A1D4" w14:textId="77777777" w:rsidTr="00887C94">
        <w:trPr>
          <w:trHeight w:val="416"/>
        </w:trPr>
        <w:tc>
          <w:tcPr>
            <w:tcW w:w="2160" w:type="dxa"/>
          </w:tcPr>
          <w:p w14:paraId="1E6232A5" w14:textId="15DE6A3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383DA0B6" w14:textId="0AFF058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2F4B2582" w14:textId="0722EF30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0EAB953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E07E5DA" w14:textId="77777777" w:rsidTr="00887C94">
        <w:trPr>
          <w:trHeight w:val="416"/>
        </w:trPr>
        <w:tc>
          <w:tcPr>
            <w:tcW w:w="2160" w:type="dxa"/>
          </w:tcPr>
          <w:p w14:paraId="33514BCF" w14:textId="109DA8E2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50D61F89" w14:textId="7483E67B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4184B4B8" w14:textId="623EC7B9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1B15CA8B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7ED3ED14" w14:textId="77777777" w:rsidTr="00887C94">
        <w:trPr>
          <w:trHeight w:val="416"/>
        </w:trPr>
        <w:tc>
          <w:tcPr>
            <w:tcW w:w="2160" w:type="dxa"/>
          </w:tcPr>
          <w:p w14:paraId="0009AE3F" w14:textId="0438FD2D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0E6E5665" w14:textId="67B6706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39F51A50" w14:textId="1CBBB2C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0AFF4A59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0F27292A" w14:textId="77777777" w:rsidTr="00887C94">
        <w:trPr>
          <w:trHeight w:val="416"/>
        </w:trPr>
        <w:tc>
          <w:tcPr>
            <w:tcW w:w="2160" w:type="dxa"/>
          </w:tcPr>
          <w:p w14:paraId="469D7939" w14:textId="1955470C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22406A7B" w14:textId="5D03244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1C41C44E" w14:textId="67C6BE6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2214B316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5BC013C7" w14:textId="77777777" w:rsidTr="00887C94">
        <w:trPr>
          <w:trHeight w:val="416"/>
        </w:trPr>
        <w:tc>
          <w:tcPr>
            <w:tcW w:w="2160" w:type="dxa"/>
          </w:tcPr>
          <w:p w14:paraId="6C62DF63" w14:textId="779344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2820BC79" w14:textId="5C93206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0AEB29D4" w14:textId="4E847400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AB06282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A87AB45" w14:textId="77777777" w:rsidTr="00887C94">
        <w:trPr>
          <w:trHeight w:val="416"/>
        </w:trPr>
        <w:tc>
          <w:tcPr>
            <w:tcW w:w="2160" w:type="dxa"/>
          </w:tcPr>
          <w:p w14:paraId="72C3B18D" w14:textId="4A630F5F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587F5C84" w14:textId="55519484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378" w:type="dxa"/>
          </w:tcPr>
          <w:p w14:paraId="290D1C2E" w14:textId="35BB6019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219" w:type="dxa"/>
          </w:tcPr>
          <w:p w14:paraId="76FEDD96" w14:textId="7062783E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</w:t>
            </w:r>
          </w:p>
        </w:tc>
      </w:tr>
      <w:tr w:rsidR="00A650B5" w:rsidRPr="00211A96" w14:paraId="7F98D095" w14:textId="77777777" w:rsidTr="00887C94">
        <w:trPr>
          <w:trHeight w:val="422"/>
        </w:trPr>
        <w:tc>
          <w:tcPr>
            <w:tcW w:w="5381" w:type="dxa"/>
            <w:gridSpan w:val="3"/>
          </w:tcPr>
          <w:p w14:paraId="3D01508A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Demais combinações de classificações parciais</w:t>
            </w:r>
          </w:p>
        </w:tc>
        <w:tc>
          <w:tcPr>
            <w:tcW w:w="3219" w:type="dxa"/>
          </w:tcPr>
          <w:p w14:paraId="767B9F3D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</w:tbl>
    <w:p w14:paraId="2486D3D9" w14:textId="77777777" w:rsidR="00A650B5" w:rsidRPr="00211A96" w:rsidRDefault="00A650B5" w:rsidP="00A650B5"/>
    <w:p w14:paraId="6DACCC72" w14:textId="1DA34223" w:rsidR="00D738A2" w:rsidRDefault="00D738A2" w:rsidP="00F4568E">
      <w:pPr>
        <w:rPr>
          <w:color w:val="0070C0"/>
        </w:rPr>
      </w:pPr>
    </w:p>
    <w:p w14:paraId="248E0BA9" w14:textId="342C2C10" w:rsidR="00D738A2" w:rsidRPr="00D738A2" w:rsidRDefault="00D738A2" w:rsidP="00D738A2">
      <w:pPr>
        <w:rPr>
          <w:b/>
        </w:rPr>
      </w:pPr>
      <w:r w:rsidRPr="00D738A2">
        <w:rPr>
          <w:b/>
        </w:rPr>
        <w:t>Especificação para Persistência do Indicador</w:t>
      </w:r>
    </w:p>
    <w:p w14:paraId="786205CB" w14:textId="77777777" w:rsidR="00D738A2" w:rsidRDefault="00D738A2" w:rsidP="00D738A2">
      <w:pPr>
        <w:spacing w:line="240" w:lineRule="auto"/>
      </w:pPr>
      <w:r>
        <w:tab/>
        <w:t>- índice será calculado e persistido após a UG Prefeitura homologar os meses 1 a 12, e 13</w:t>
      </w:r>
    </w:p>
    <w:p w14:paraId="638544D0" w14:textId="77777777" w:rsidR="00D738A2" w:rsidRDefault="00D738A2" w:rsidP="00D738A2">
      <w:pPr>
        <w:spacing w:line="240" w:lineRule="auto"/>
      </w:pPr>
      <w:r>
        <w:tab/>
      </w:r>
      <w:r>
        <w:tab/>
        <w:t xml:space="preserve">- </w:t>
      </w:r>
      <w:proofErr w:type="spellStart"/>
      <w:proofErr w:type="gramStart"/>
      <w:r>
        <w:t>job</w:t>
      </w:r>
      <w:proofErr w:type="spellEnd"/>
      <w:proofErr w:type="gramEnd"/>
      <w:r>
        <w:t xml:space="preserve"> deve ser executado somente após o cálculo dos indicadores DCL, RCL e Disponibilidade de Caixa</w:t>
      </w:r>
    </w:p>
    <w:p w14:paraId="0AADDA60" w14:textId="77777777" w:rsidR="00D738A2" w:rsidRDefault="00D738A2" w:rsidP="00D738A2">
      <w:pPr>
        <w:spacing w:line="240" w:lineRule="auto"/>
      </w:pPr>
      <w:r>
        <w:tab/>
        <w:t xml:space="preserve">- No mês 12 o indicador não deve ser calculado. No mês 13, o indicador deve ser calculado e persistido na tabela </w:t>
      </w:r>
      <w:proofErr w:type="spellStart"/>
      <w:r>
        <w:t>GestaoFiscalIndicadorresultado</w:t>
      </w:r>
      <w:proofErr w:type="spellEnd"/>
      <w:r>
        <w:t xml:space="preserve"> com </w:t>
      </w:r>
      <w:proofErr w:type="spellStart"/>
      <w:r>
        <w:t>MesReferencia</w:t>
      </w:r>
      <w:proofErr w:type="spellEnd"/>
      <w:r>
        <w:t>=12</w:t>
      </w:r>
    </w:p>
    <w:p w14:paraId="4A9F3D30" w14:textId="77777777" w:rsidR="00D738A2" w:rsidRDefault="00D738A2" w:rsidP="00D738A2">
      <w:pPr>
        <w:spacing w:line="240" w:lineRule="auto"/>
      </w:pPr>
    </w:p>
    <w:p w14:paraId="59FB29A3" w14:textId="77777777" w:rsidR="00D738A2" w:rsidRDefault="00D738A2" w:rsidP="00D738A2">
      <w:pPr>
        <w:spacing w:line="240" w:lineRule="auto"/>
      </w:pPr>
      <w:r>
        <w:lastRenderedPageBreak/>
        <w:tab/>
        <w:t xml:space="preserve">- Tabela </w:t>
      </w:r>
      <w:proofErr w:type="spellStart"/>
      <w:r>
        <w:t>GestaoFiscalIndicadorResultado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92BD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mesReferencia</w:t>
      </w:r>
      <w:proofErr w:type="spellEnd"/>
      <w:r>
        <w:t xml:space="preserve"> = mês da PCM</w:t>
      </w:r>
      <w:r>
        <w:tab/>
      </w:r>
      <w:r>
        <w:tab/>
      </w:r>
      <w:r>
        <w:tab/>
      </w:r>
      <w:r>
        <w:tab/>
      </w:r>
      <w:r>
        <w:tab/>
      </w:r>
    </w:p>
    <w:p w14:paraId="2A934726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anoReferencia</w:t>
      </w:r>
      <w:proofErr w:type="spellEnd"/>
      <w:r>
        <w:t xml:space="preserve"> = Exercício da PCM</w:t>
      </w:r>
      <w:r>
        <w:tab/>
      </w:r>
      <w:r>
        <w:tab/>
      </w:r>
      <w:r>
        <w:tab/>
      </w:r>
      <w:r>
        <w:tab/>
      </w:r>
      <w:r>
        <w:tab/>
      </w:r>
    </w:p>
    <w:p w14:paraId="6F1D3C31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EsferaAdministrativaId</w:t>
      </w:r>
      <w:proofErr w:type="spellEnd"/>
      <w:r>
        <w:t xml:space="preserve"> = buscar id do município</w:t>
      </w:r>
      <w:r>
        <w:tab/>
      </w:r>
      <w:r>
        <w:tab/>
      </w:r>
      <w:r>
        <w:tab/>
      </w:r>
      <w:r>
        <w:tab/>
      </w:r>
      <w:r>
        <w:tab/>
      </w:r>
    </w:p>
    <w:p w14:paraId="4F9B1744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GestaoFiscalIndicadorId</w:t>
      </w:r>
      <w:proofErr w:type="spellEnd"/>
      <w:r>
        <w:t xml:space="preserve"> = Id do CAPAG</w:t>
      </w:r>
      <w:r>
        <w:tab/>
      </w:r>
    </w:p>
    <w:p w14:paraId="0BD8621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</w:t>
      </w:r>
      <w:proofErr w:type="spellEnd"/>
      <w:r>
        <w:t xml:space="preserve"> = NULL</w:t>
      </w:r>
    </w:p>
    <w:p w14:paraId="07381D1F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valorApurado</w:t>
      </w:r>
      <w:proofErr w:type="spellEnd"/>
      <w:r>
        <w:t xml:space="preserve"> = componente </w:t>
      </w:r>
      <w:proofErr w:type="spellStart"/>
      <w:r>
        <w:t>CAPAG.Nota</w:t>
      </w:r>
      <w:proofErr w:type="spellEnd"/>
    </w:p>
    <w:p w14:paraId="0EC1DF0B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idcTipoResultadoGestao</w:t>
      </w:r>
      <w:proofErr w:type="spellEnd"/>
      <w:r>
        <w:t xml:space="preserve"> = 0 (Consolidado)</w:t>
      </w:r>
      <w:r>
        <w:tab/>
      </w:r>
      <w:r>
        <w:tab/>
      </w:r>
      <w:r>
        <w:tab/>
      </w:r>
      <w:r>
        <w:tab/>
      </w:r>
      <w:r>
        <w:tab/>
      </w:r>
    </w:p>
    <w:p w14:paraId="3E9665F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metaLimiteAlerta</w:t>
      </w:r>
      <w:proofErr w:type="spellEnd"/>
      <w:r>
        <w:t xml:space="preserve"> = NULL</w:t>
      </w:r>
      <w:r>
        <w:tab/>
      </w:r>
      <w:r>
        <w:tab/>
      </w:r>
      <w:r>
        <w:tab/>
      </w:r>
      <w:r>
        <w:tab/>
      </w:r>
      <w:r>
        <w:tab/>
      </w:r>
    </w:p>
    <w:p w14:paraId="2AD36F3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resultadoDescricao</w:t>
      </w:r>
      <w:proofErr w:type="spellEnd"/>
    </w:p>
    <w:p w14:paraId="0C5E04FF" w14:textId="77777777" w:rsidR="00D738A2" w:rsidRDefault="00D738A2" w:rsidP="00D738A2">
      <w:pPr>
        <w:spacing w:line="240" w:lineRule="auto"/>
        <w:rPr>
          <w:rFonts w:ascii="Arial" w:eastAsia="Times New Roman" w:hAnsi="Arial" w:cs="Arial"/>
          <w:lang w:eastAsia="pt-BR"/>
        </w:rPr>
      </w:pPr>
      <w:r>
        <w:tab/>
      </w:r>
      <w:r>
        <w:tab/>
      </w:r>
      <w:r>
        <w:tab/>
      </w:r>
      <w:r>
        <w:rPr>
          <w:rFonts w:ascii="Arial" w:eastAsia="Times New Roman" w:hAnsi="Arial" w:cs="Arial"/>
          <w:lang w:eastAsia="pt-BR"/>
        </w:rPr>
        <w:t xml:space="preserve">SE </w:t>
      </w:r>
      <w:proofErr w:type="spellStart"/>
      <w:r>
        <w:rPr>
          <w:rFonts w:ascii="Arial" w:eastAsia="Times New Roman" w:hAnsi="Arial" w:cs="Arial"/>
          <w:lang w:eastAsia="pt-BR"/>
        </w:rPr>
        <w:t>mesReferencia</w:t>
      </w:r>
      <w:proofErr w:type="spellEnd"/>
      <w:r>
        <w:rPr>
          <w:rFonts w:ascii="Arial" w:eastAsia="Times New Roman" w:hAnsi="Arial" w:cs="Arial"/>
          <w:lang w:eastAsia="pt-BR"/>
        </w:rPr>
        <w:t xml:space="preserve"> entre 1 e 11 ENTÃO ‘Tendência à </w:t>
      </w:r>
      <w:proofErr w:type="gramStart"/>
      <w:r>
        <w:rPr>
          <w:rFonts w:ascii="Arial" w:eastAsia="Times New Roman" w:hAnsi="Arial" w:cs="Arial"/>
          <w:lang w:eastAsia="pt-BR"/>
        </w:rPr>
        <w:t>nota ’</w:t>
      </w:r>
      <w:proofErr w:type="gramEnd"/>
      <w:r>
        <w:rPr>
          <w:rFonts w:ascii="Arial" w:eastAsia="Times New Roman" w:hAnsi="Arial" w:cs="Arial"/>
          <w:lang w:eastAsia="pt-BR"/>
        </w:rPr>
        <w:t xml:space="preserve"> + </w:t>
      </w:r>
      <w:proofErr w:type="spellStart"/>
      <w:r>
        <w:t>CAPAG.Nota</w:t>
      </w:r>
      <w:proofErr w:type="spellEnd"/>
    </w:p>
    <w:p w14:paraId="0DF25BB8" w14:textId="77777777" w:rsidR="00D738A2" w:rsidRDefault="00D738A2" w:rsidP="00D738A2">
      <w:pPr>
        <w:spacing w:line="240" w:lineRule="auto"/>
      </w:pPr>
      <w:r>
        <w:tab/>
      </w:r>
      <w:r>
        <w:tab/>
      </w:r>
      <w:r>
        <w:tab/>
        <w:t xml:space="preserve">SENÃO ‘Nota’ + </w:t>
      </w:r>
      <w:proofErr w:type="spellStart"/>
      <w:r>
        <w:t>CAPAG.Nota</w:t>
      </w:r>
      <w:proofErr w:type="spellEnd"/>
    </w:p>
    <w:p w14:paraId="25B5545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idcResultadoGestaoFiscalIndicador</w:t>
      </w:r>
      <w:proofErr w:type="spellEnd"/>
      <w:r>
        <w:t xml:space="preserve"> = NULL</w:t>
      </w:r>
    </w:p>
    <w:p w14:paraId="38719E2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TipoFaseId</w:t>
      </w:r>
      <w:proofErr w:type="spellEnd"/>
      <w:r>
        <w:t xml:space="preserve"> = NULL</w:t>
      </w:r>
    </w:p>
    <w:p w14:paraId="79CCB3A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versao</w:t>
      </w:r>
      <w:proofErr w:type="spellEnd"/>
      <w:r>
        <w:t xml:space="preserve"> = tabela </w:t>
      </w:r>
      <w:r>
        <w:tab/>
      </w:r>
      <w:r>
        <w:tab/>
      </w:r>
      <w:r>
        <w:tab/>
      </w:r>
      <w:r>
        <w:tab/>
      </w:r>
      <w:r>
        <w:tab/>
      </w:r>
    </w:p>
    <w:p w14:paraId="4AD8016D" w14:textId="3D15E391" w:rsidR="00D738A2" w:rsidRPr="002D40D7" w:rsidRDefault="00D738A2" w:rsidP="00D738A2">
      <w:pPr>
        <w:spacing w:line="240" w:lineRule="auto"/>
        <w:rPr>
          <w:color w:val="0070C0"/>
        </w:rPr>
      </w:pPr>
      <w:r>
        <w:tab/>
      </w:r>
      <w:r>
        <w:tab/>
      </w:r>
      <w:proofErr w:type="spellStart"/>
      <w:r>
        <w:t>ArquivoId</w:t>
      </w:r>
      <w:proofErr w:type="spellEnd"/>
      <w:r>
        <w:t xml:space="preserve"> = relatório gerado conforme </w:t>
      </w:r>
      <w:proofErr w:type="spellStart"/>
      <w:r>
        <w:t>template</w:t>
      </w:r>
      <w:proofErr w:type="spellEnd"/>
    </w:p>
    <w:sectPr w:rsidR="00D738A2" w:rsidRPr="002D40D7" w:rsidSect="00985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AE"/>
    <w:rsid w:val="00000912"/>
    <w:rsid w:val="00007436"/>
    <w:rsid w:val="00024B9D"/>
    <w:rsid w:val="00032ADC"/>
    <w:rsid w:val="00032DDD"/>
    <w:rsid w:val="000411B5"/>
    <w:rsid w:val="00055293"/>
    <w:rsid w:val="000558FC"/>
    <w:rsid w:val="000566BC"/>
    <w:rsid w:val="00057F97"/>
    <w:rsid w:val="00063839"/>
    <w:rsid w:val="00075620"/>
    <w:rsid w:val="00084CF5"/>
    <w:rsid w:val="000907E6"/>
    <w:rsid w:val="00093090"/>
    <w:rsid w:val="000B7D3E"/>
    <w:rsid w:val="000C3DEC"/>
    <w:rsid w:val="000C4A9A"/>
    <w:rsid w:val="000D54D7"/>
    <w:rsid w:val="000E1C2D"/>
    <w:rsid w:val="000E7A8E"/>
    <w:rsid w:val="000F17B1"/>
    <w:rsid w:val="000F4D1F"/>
    <w:rsid w:val="000F69A6"/>
    <w:rsid w:val="00101876"/>
    <w:rsid w:val="00111E26"/>
    <w:rsid w:val="00115D2A"/>
    <w:rsid w:val="00121C44"/>
    <w:rsid w:val="00124973"/>
    <w:rsid w:val="00125FFB"/>
    <w:rsid w:val="00134D62"/>
    <w:rsid w:val="001358C0"/>
    <w:rsid w:val="00147F27"/>
    <w:rsid w:val="001500D5"/>
    <w:rsid w:val="0015562D"/>
    <w:rsid w:val="001625DD"/>
    <w:rsid w:val="00167E59"/>
    <w:rsid w:val="001846C4"/>
    <w:rsid w:val="00184C8A"/>
    <w:rsid w:val="00185A09"/>
    <w:rsid w:val="00187E8D"/>
    <w:rsid w:val="00192D85"/>
    <w:rsid w:val="001B0D75"/>
    <w:rsid w:val="001B44C0"/>
    <w:rsid w:val="001B6B9B"/>
    <w:rsid w:val="001C445A"/>
    <w:rsid w:val="001D7BA8"/>
    <w:rsid w:val="001E050B"/>
    <w:rsid w:val="001E4D56"/>
    <w:rsid w:val="001E6041"/>
    <w:rsid w:val="001F4E38"/>
    <w:rsid w:val="001F7B8B"/>
    <w:rsid w:val="00202575"/>
    <w:rsid w:val="002109AD"/>
    <w:rsid w:val="00211A96"/>
    <w:rsid w:val="00220E85"/>
    <w:rsid w:val="0022111E"/>
    <w:rsid w:val="002265BA"/>
    <w:rsid w:val="00236111"/>
    <w:rsid w:val="0024727A"/>
    <w:rsid w:val="0026146B"/>
    <w:rsid w:val="00265113"/>
    <w:rsid w:val="002704F6"/>
    <w:rsid w:val="002709C3"/>
    <w:rsid w:val="00271672"/>
    <w:rsid w:val="00274621"/>
    <w:rsid w:val="00284821"/>
    <w:rsid w:val="002A091B"/>
    <w:rsid w:val="002A2B60"/>
    <w:rsid w:val="002A4840"/>
    <w:rsid w:val="002A5126"/>
    <w:rsid w:val="002B2948"/>
    <w:rsid w:val="002B2DF6"/>
    <w:rsid w:val="002B68F4"/>
    <w:rsid w:val="002B7B9E"/>
    <w:rsid w:val="002C4059"/>
    <w:rsid w:val="002C4F20"/>
    <w:rsid w:val="002D40D7"/>
    <w:rsid w:val="002D56CA"/>
    <w:rsid w:val="002D7646"/>
    <w:rsid w:val="002E44CB"/>
    <w:rsid w:val="002F6D5F"/>
    <w:rsid w:val="002F7AE3"/>
    <w:rsid w:val="00302E70"/>
    <w:rsid w:val="00306556"/>
    <w:rsid w:val="00311A06"/>
    <w:rsid w:val="00325C2D"/>
    <w:rsid w:val="00365037"/>
    <w:rsid w:val="0038083C"/>
    <w:rsid w:val="003851B7"/>
    <w:rsid w:val="003853D7"/>
    <w:rsid w:val="00393099"/>
    <w:rsid w:val="003B7A99"/>
    <w:rsid w:val="003E0097"/>
    <w:rsid w:val="003E3576"/>
    <w:rsid w:val="003E4259"/>
    <w:rsid w:val="003F00FF"/>
    <w:rsid w:val="004162E2"/>
    <w:rsid w:val="00417D72"/>
    <w:rsid w:val="00420180"/>
    <w:rsid w:val="00424332"/>
    <w:rsid w:val="0042657F"/>
    <w:rsid w:val="00430718"/>
    <w:rsid w:val="00430F75"/>
    <w:rsid w:val="0043726D"/>
    <w:rsid w:val="00441899"/>
    <w:rsid w:val="00443553"/>
    <w:rsid w:val="00451D43"/>
    <w:rsid w:val="004524E6"/>
    <w:rsid w:val="004529E5"/>
    <w:rsid w:val="0045641D"/>
    <w:rsid w:val="004612BE"/>
    <w:rsid w:val="004634D7"/>
    <w:rsid w:val="0047134C"/>
    <w:rsid w:val="004775F6"/>
    <w:rsid w:val="0049640F"/>
    <w:rsid w:val="004A52F0"/>
    <w:rsid w:val="004B65AE"/>
    <w:rsid w:val="004B7512"/>
    <w:rsid w:val="004C3CB6"/>
    <w:rsid w:val="004D2C28"/>
    <w:rsid w:val="004D5F38"/>
    <w:rsid w:val="004D6780"/>
    <w:rsid w:val="004D7540"/>
    <w:rsid w:val="004E2382"/>
    <w:rsid w:val="004E3ECA"/>
    <w:rsid w:val="00513436"/>
    <w:rsid w:val="00513F56"/>
    <w:rsid w:val="00523ED2"/>
    <w:rsid w:val="0053140E"/>
    <w:rsid w:val="00535CC0"/>
    <w:rsid w:val="00541C33"/>
    <w:rsid w:val="005438FB"/>
    <w:rsid w:val="00546514"/>
    <w:rsid w:val="00562D22"/>
    <w:rsid w:val="00567802"/>
    <w:rsid w:val="005704A5"/>
    <w:rsid w:val="00571ACF"/>
    <w:rsid w:val="00580187"/>
    <w:rsid w:val="00581106"/>
    <w:rsid w:val="00593829"/>
    <w:rsid w:val="00594168"/>
    <w:rsid w:val="0059668F"/>
    <w:rsid w:val="005A5656"/>
    <w:rsid w:val="005B26D7"/>
    <w:rsid w:val="005B74DE"/>
    <w:rsid w:val="005C2C8D"/>
    <w:rsid w:val="005D06C1"/>
    <w:rsid w:val="005D5942"/>
    <w:rsid w:val="005D760E"/>
    <w:rsid w:val="005E42FE"/>
    <w:rsid w:val="00605A97"/>
    <w:rsid w:val="00611796"/>
    <w:rsid w:val="00613CBB"/>
    <w:rsid w:val="00614C08"/>
    <w:rsid w:val="006178E4"/>
    <w:rsid w:val="006203F5"/>
    <w:rsid w:val="00620A1F"/>
    <w:rsid w:val="00627395"/>
    <w:rsid w:val="00630ED4"/>
    <w:rsid w:val="00631551"/>
    <w:rsid w:val="00633DA0"/>
    <w:rsid w:val="00635B88"/>
    <w:rsid w:val="00636C92"/>
    <w:rsid w:val="006420AB"/>
    <w:rsid w:val="00650323"/>
    <w:rsid w:val="0065043B"/>
    <w:rsid w:val="00662E8B"/>
    <w:rsid w:val="00673E20"/>
    <w:rsid w:val="00675F36"/>
    <w:rsid w:val="00684E44"/>
    <w:rsid w:val="00685A07"/>
    <w:rsid w:val="0069347F"/>
    <w:rsid w:val="00694525"/>
    <w:rsid w:val="00695E30"/>
    <w:rsid w:val="006A2B34"/>
    <w:rsid w:val="006A3D0F"/>
    <w:rsid w:val="006A645D"/>
    <w:rsid w:val="006B3F6E"/>
    <w:rsid w:val="006B4CBC"/>
    <w:rsid w:val="006C06DE"/>
    <w:rsid w:val="006C64A5"/>
    <w:rsid w:val="006C6AA7"/>
    <w:rsid w:val="006D57D4"/>
    <w:rsid w:val="006E6995"/>
    <w:rsid w:val="006F21BA"/>
    <w:rsid w:val="006F247E"/>
    <w:rsid w:val="006F6DF2"/>
    <w:rsid w:val="00704367"/>
    <w:rsid w:val="00705529"/>
    <w:rsid w:val="007061A6"/>
    <w:rsid w:val="00710A1E"/>
    <w:rsid w:val="00711F0E"/>
    <w:rsid w:val="007204B5"/>
    <w:rsid w:val="00726AE0"/>
    <w:rsid w:val="007439C1"/>
    <w:rsid w:val="007512B3"/>
    <w:rsid w:val="0075482F"/>
    <w:rsid w:val="00756495"/>
    <w:rsid w:val="00762D0D"/>
    <w:rsid w:val="00775533"/>
    <w:rsid w:val="007758AB"/>
    <w:rsid w:val="0078234E"/>
    <w:rsid w:val="00794815"/>
    <w:rsid w:val="0079785B"/>
    <w:rsid w:val="007A0648"/>
    <w:rsid w:val="007A3C00"/>
    <w:rsid w:val="007A4824"/>
    <w:rsid w:val="007B261C"/>
    <w:rsid w:val="007B4D95"/>
    <w:rsid w:val="007B610E"/>
    <w:rsid w:val="007B63F6"/>
    <w:rsid w:val="007B7C3F"/>
    <w:rsid w:val="007C6B8A"/>
    <w:rsid w:val="007E666C"/>
    <w:rsid w:val="007F2E38"/>
    <w:rsid w:val="008029E0"/>
    <w:rsid w:val="00816172"/>
    <w:rsid w:val="00822B1A"/>
    <w:rsid w:val="0082381C"/>
    <w:rsid w:val="008435DD"/>
    <w:rsid w:val="008447E2"/>
    <w:rsid w:val="00846947"/>
    <w:rsid w:val="0084705F"/>
    <w:rsid w:val="008729ED"/>
    <w:rsid w:val="0087377D"/>
    <w:rsid w:val="0088677F"/>
    <w:rsid w:val="00887C94"/>
    <w:rsid w:val="00891AD8"/>
    <w:rsid w:val="00897972"/>
    <w:rsid w:val="008A1BD4"/>
    <w:rsid w:val="008A4243"/>
    <w:rsid w:val="008A6A00"/>
    <w:rsid w:val="008A6A1B"/>
    <w:rsid w:val="008A7FFC"/>
    <w:rsid w:val="008B09D3"/>
    <w:rsid w:val="008C52B2"/>
    <w:rsid w:val="008C5DC4"/>
    <w:rsid w:val="008D4015"/>
    <w:rsid w:val="008D65AD"/>
    <w:rsid w:val="00900297"/>
    <w:rsid w:val="00900CCC"/>
    <w:rsid w:val="009036A8"/>
    <w:rsid w:val="00903E0A"/>
    <w:rsid w:val="0090430A"/>
    <w:rsid w:val="009052FF"/>
    <w:rsid w:val="009066C3"/>
    <w:rsid w:val="0092400C"/>
    <w:rsid w:val="0093200B"/>
    <w:rsid w:val="0094430A"/>
    <w:rsid w:val="00944928"/>
    <w:rsid w:val="00944CCE"/>
    <w:rsid w:val="009529CE"/>
    <w:rsid w:val="00955172"/>
    <w:rsid w:val="0095552C"/>
    <w:rsid w:val="00956935"/>
    <w:rsid w:val="0096555C"/>
    <w:rsid w:val="009812DA"/>
    <w:rsid w:val="009823E7"/>
    <w:rsid w:val="00985651"/>
    <w:rsid w:val="009904E3"/>
    <w:rsid w:val="009A2542"/>
    <w:rsid w:val="009A71B5"/>
    <w:rsid w:val="009A7B43"/>
    <w:rsid w:val="009B25E3"/>
    <w:rsid w:val="009D1015"/>
    <w:rsid w:val="009E3DA8"/>
    <w:rsid w:val="009F508E"/>
    <w:rsid w:val="00A13197"/>
    <w:rsid w:val="00A13B4F"/>
    <w:rsid w:val="00A16E7A"/>
    <w:rsid w:val="00A252A6"/>
    <w:rsid w:val="00A27C29"/>
    <w:rsid w:val="00A37865"/>
    <w:rsid w:val="00A41028"/>
    <w:rsid w:val="00A51A42"/>
    <w:rsid w:val="00A54827"/>
    <w:rsid w:val="00A57B18"/>
    <w:rsid w:val="00A60C9D"/>
    <w:rsid w:val="00A611CB"/>
    <w:rsid w:val="00A650B5"/>
    <w:rsid w:val="00A66237"/>
    <w:rsid w:val="00A67202"/>
    <w:rsid w:val="00A75802"/>
    <w:rsid w:val="00A816D9"/>
    <w:rsid w:val="00A85091"/>
    <w:rsid w:val="00A920FA"/>
    <w:rsid w:val="00A951C0"/>
    <w:rsid w:val="00AA5511"/>
    <w:rsid w:val="00AA71E3"/>
    <w:rsid w:val="00AB3CAA"/>
    <w:rsid w:val="00AC0E98"/>
    <w:rsid w:val="00AC3F36"/>
    <w:rsid w:val="00AD128E"/>
    <w:rsid w:val="00AE1BEB"/>
    <w:rsid w:val="00AE6417"/>
    <w:rsid w:val="00B0354F"/>
    <w:rsid w:val="00B05D9F"/>
    <w:rsid w:val="00B20C67"/>
    <w:rsid w:val="00B21145"/>
    <w:rsid w:val="00B318CA"/>
    <w:rsid w:val="00B43C8B"/>
    <w:rsid w:val="00B5280A"/>
    <w:rsid w:val="00B54CA2"/>
    <w:rsid w:val="00B653AE"/>
    <w:rsid w:val="00B72E1D"/>
    <w:rsid w:val="00B766A5"/>
    <w:rsid w:val="00B800D3"/>
    <w:rsid w:val="00B81ADC"/>
    <w:rsid w:val="00B92B7C"/>
    <w:rsid w:val="00B93B77"/>
    <w:rsid w:val="00B94970"/>
    <w:rsid w:val="00B94AEE"/>
    <w:rsid w:val="00BA017A"/>
    <w:rsid w:val="00BA0657"/>
    <w:rsid w:val="00BA1C13"/>
    <w:rsid w:val="00BA5EF5"/>
    <w:rsid w:val="00BB0884"/>
    <w:rsid w:val="00BB0890"/>
    <w:rsid w:val="00BB45AB"/>
    <w:rsid w:val="00BC08A6"/>
    <w:rsid w:val="00BC0DDC"/>
    <w:rsid w:val="00BC6D11"/>
    <w:rsid w:val="00BF4957"/>
    <w:rsid w:val="00C05FF5"/>
    <w:rsid w:val="00C109BE"/>
    <w:rsid w:val="00C16388"/>
    <w:rsid w:val="00C23F78"/>
    <w:rsid w:val="00C531B7"/>
    <w:rsid w:val="00C62560"/>
    <w:rsid w:val="00C75A5D"/>
    <w:rsid w:val="00C84075"/>
    <w:rsid w:val="00C8419B"/>
    <w:rsid w:val="00C85EE7"/>
    <w:rsid w:val="00C9485A"/>
    <w:rsid w:val="00CA0A35"/>
    <w:rsid w:val="00CA4F3B"/>
    <w:rsid w:val="00CB1315"/>
    <w:rsid w:val="00CB5E51"/>
    <w:rsid w:val="00CB6260"/>
    <w:rsid w:val="00CD014F"/>
    <w:rsid w:val="00CD5A0D"/>
    <w:rsid w:val="00CD7233"/>
    <w:rsid w:val="00CE39FC"/>
    <w:rsid w:val="00CE6099"/>
    <w:rsid w:val="00CE7871"/>
    <w:rsid w:val="00CF6CCD"/>
    <w:rsid w:val="00D01ED6"/>
    <w:rsid w:val="00D0208A"/>
    <w:rsid w:val="00D04A19"/>
    <w:rsid w:val="00D05C54"/>
    <w:rsid w:val="00D314D1"/>
    <w:rsid w:val="00D35ACA"/>
    <w:rsid w:val="00D36A1D"/>
    <w:rsid w:val="00D43864"/>
    <w:rsid w:val="00D521E5"/>
    <w:rsid w:val="00D56E17"/>
    <w:rsid w:val="00D6554F"/>
    <w:rsid w:val="00D65921"/>
    <w:rsid w:val="00D71CF2"/>
    <w:rsid w:val="00D738A2"/>
    <w:rsid w:val="00D7726D"/>
    <w:rsid w:val="00D81950"/>
    <w:rsid w:val="00D81D4C"/>
    <w:rsid w:val="00D853CA"/>
    <w:rsid w:val="00D934DE"/>
    <w:rsid w:val="00D93CF3"/>
    <w:rsid w:val="00DA09ED"/>
    <w:rsid w:val="00DA0EF6"/>
    <w:rsid w:val="00DA2465"/>
    <w:rsid w:val="00DB77C8"/>
    <w:rsid w:val="00DC0FA7"/>
    <w:rsid w:val="00DC32C9"/>
    <w:rsid w:val="00DD11AF"/>
    <w:rsid w:val="00DE2811"/>
    <w:rsid w:val="00DE4ADC"/>
    <w:rsid w:val="00DF0CB2"/>
    <w:rsid w:val="00DF212E"/>
    <w:rsid w:val="00E02338"/>
    <w:rsid w:val="00E11707"/>
    <w:rsid w:val="00E21C37"/>
    <w:rsid w:val="00E3217A"/>
    <w:rsid w:val="00E328B7"/>
    <w:rsid w:val="00E4243E"/>
    <w:rsid w:val="00E55F50"/>
    <w:rsid w:val="00E56671"/>
    <w:rsid w:val="00E63542"/>
    <w:rsid w:val="00E8608B"/>
    <w:rsid w:val="00E87F3E"/>
    <w:rsid w:val="00EC3408"/>
    <w:rsid w:val="00ED064F"/>
    <w:rsid w:val="00ED7306"/>
    <w:rsid w:val="00EE129C"/>
    <w:rsid w:val="00EF2790"/>
    <w:rsid w:val="00EF5D56"/>
    <w:rsid w:val="00F0482B"/>
    <w:rsid w:val="00F04A4B"/>
    <w:rsid w:val="00F061C7"/>
    <w:rsid w:val="00F07C33"/>
    <w:rsid w:val="00F11771"/>
    <w:rsid w:val="00F348CE"/>
    <w:rsid w:val="00F3496B"/>
    <w:rsid w:val="00F37112"/>
    <w:rsid w:val="00F413C1"/>
    <w:rsid w:val="00F44468"/>
    <w:rsid w:val="00F4568E"/>
    <w:rsid w:val="00F47250"/>
    <w:rsid w:val="00F60AC7"/>
    <w:rsid w:val="00F64980"/>
    <w:rsid w:val="00F6659B"/>
    <w:rsid w:val="00F6681A"/>
    <w:rsid w:val="00F75386"/>
    <w:rsid w:val="00F77DEC"/>
    <w:rsid w:val="00F90D4C"/>
    <w:rsid w:val="00F96609"/>
    <w:rsid w:val="00FA5F82"/>
    <w:rsid w:val="00FB6FD0"/>
    <w:rsid w:val="00FC1FC6"/>
    <w:rsid w:val="00FC2DD1"/>
    <w:rsid w:val="00FC3D52"/>
    <w:rsid w:val="00FC427E"/>
    <w:rsid w:val="00FC53F1"/>
    <w:rsid w:val="00FD312A"/>
    <w:rsid w:val="00FE1E0C"/>
    <w:rsid w:val="00FE335F"/>
    <w:rsid w:val="00FF033B"/>
    <w:rsid w:val="00FF5BBB"/>
    <w:rsid w:val="00FF6269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F785"/>
  <w15:chartTrackingRefBased/>
  <w15:docId w15:val="{E2666328-4B19-4BA6-8F73-529DD800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556"/>
    <w:pPr>
      <w:ind w:left="720"/>
      <w:contextualSpacing/>
    </w:pPr>
  </w:style>
  <w:style w:type="paragraph" w:customStyle="1" w:styleId="Default">
    <w:name w:val="Default"/>
    <w:rsid w:val="00270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0C3DEC"/>
    <w:rPr>
      <w:b/>
      <w:bCs/>
    </w:rPr>
  </w:style>
  <w:style w:type="character" w:styleId="Hyperlink">
    <w:name w:val="Hyperlink"/>
    <w:basedOn w:val="Fontepargpadro"/>
    <w:uiPriority w:val="99"/>
    <w:unhideWhenUsed/>
    <w:rsid w:val="000C3DEC"/>
    <w:rPr>
      <w:color w:val="0000FF"/>
      <w:u w:val="single"/>
    </w:rPr>
  </w:style>
  <w:style w:type="paragraph" w:customStyle="1" w:styleId="dou-paragraph">
    <w:name w:val="dou-paragraph"/>
    <w:basedOn w:val="Normal"/>
    <w:rsid w:val="00D0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7B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B54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portaria-normativa-mf-n-1.764-de-6-de-novembro-de-2024-594603758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in.gov.br/en/web/dou/-/portaria-normativa-mf-n-1.583-de-13-de-dezembro-de-2023-530597625" TargetMode="Externa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hyperlink" Target="https://www.in.gov.br/en/web/dou/-/portaria-stn-n-10.464-de-7-de-dezembro-de-2022-4492895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1E0E1-52AD-442C-978C-0AC5AD98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BB7032-5A20-42F4-8BA4-91F1B2978C4E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3.xml><?xml version="1.0" encoding="utf-8"?>
<ds:datastoreItem xmlns:ds="http://schemas.openxmlformats.org/officeDocument/2006/customXml" ds:itemID="{6C7866A1-8F32-49E6-B9B8-40A541DA0A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7</Pages>
  <Words>2145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13701</CharactersWithSpaces>
  <SharedDoc>false</SharedDoc>
  <HLinks>
    <vt:vector size="12" baseType="variant">
      <vt:variant>
        <vt:i4>3342457</vt:i4>
      </vt:variant>
      <vt:variant>
        <vt:i4>3</vt:i4>
      </vt:variant>
      <vt:variant>
        <vt:i4>0</vt:i4>
      </vt:variant>
      <vt:variant>
        <vt:i4>5</vt:i4>
      </vt:variant>
      <vt:variant>
        <vt:lpwstr>https://www.in.gov.br/en/web/dou/-/portaria-stn-n-10.464-de-7-de-dezembro-de-2022-449289570</vt:lpwstr>
      </vt:variant>
      <vt:variant>
        <vt:lpwstr/>
      </vt:variant>
      <vt:variant>
        <vt:i4>4390923</vt:i4>
      </vt:variant>
      <vt:variant>
        <vt:i4>0</vt:i4>
      </vt:variant>
      <vt:variant>
        <vt:i4>0</vt:i4>
      </vt:variant>
      <vt:variant>
        <vt:i4>5</vt:i4>
      </vt:variant>
      <vt:variant>
        <vt:lpwstr>https://www.in.gov.br/en/web/dou/-/portaria-normativa-mf-n-1.583-de-13-de-dezembro-de-2023-530597625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310</cp:revision>
  <dcterms:created xsi:type="dcterms:W3CDTF">2023-05-10T23:45:00Z</dcterms:created>
  <dcterms:modified xsi:type="dcterms:W3CDTF">2025-03-17T14:10:00Z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2606600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