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F689" w14:textId="75A253D5" w:rsidR="000D7F83" w:rsidRPr="00A851D9" w:rsidRDefault="00732179" w:rsidP="00732179">
      <w:pPr>
        <w:pStyle w:val="Ttulo1"/>
      </w:pPr>
      <w:bookmarkStart w:id="0" w:name="_Toc179303495"/>
      <w:r w:rsidRPr="00732179">
        <w:rPr>
          <w:bCs/>
        </w:rPr>
        <w:t xml:space="preserve">1. </w:t>
      </w:r>
      <w:r w:rsidR="00B52A63" w:rsidRPr="00732179">
        <w:rPr>
          <w:bCs/>
        </w:rPr>
        <w:t>LICITAÇÃO</w:t>
      </w:r>
      <w:r w:rsidR="00B52A63" w:rsidRPr="00A851D9">
        <w:t>. PLATAFORMA DE LICITAÇÃO.</w:t>
      </w:r>
      <w:r w:rsidR="00785E1F" w:rsidRPr="00A851D9">
        <w:t xml:space="preserve"> TAXA. ESTUDO TÉCNICO PRELIMINAR.</w:t>
      </w:r>
      <w:r w:rsidR="000D7F83" w:rsidRPr="00A851D9">
        <w:t xml:space="preserve"> </w:t>
      </w:r>
      <w:r w:rsidR="00785E1F" w:rsidRPr="00A851D9">
        <w:t>A Administração Públic</w:t>
      </w:r>
      <w:r w:rsidR="0010618B" w:rsidRPr="00A851D9">
        <w:t>a</w:t>
      </w:r>
      <w:r w:rsidR="000D7F83" w:rsidRPr="00A851D9">
        <w:t xml:space="preserve"> deve </w:t>
      </w:r>
      <w:r w:rsidR="00785E1F" w:rsidRPr="00A851D9">
        <w:t xml:space="preserve">se </w:t>
      </w:r>
      <w:r w:rsidR="000D7F83" w:rsidRPr="00A851D9">
        <w:t>abster de contratar plataformas de pregão eletrônico que cobrem taxas variáveis</w:t>
      </w:r>
      <w:r w:rsidR="00785E1F" w:rsidRPr="00A851D9">
        <w:t xml:space="preserve"> dos licitantes, </w:t>
      </w:r>
      <w:r w:rsidR="0010618B" w:rsidRPr="00A851D9">
        <w:t>desvinculadas</w:t>
      </w:r>
      <w:r w:rsidR="00785E1F" w:rsidRPr="00A851D9">
        <w:t xml:space="preserve"> dos custos de utilização do sistema</w:t>
      </w:r>
      <w:r w:rsidR="000D7F83" w:rsidRPr="00A851D9">
        <w:t xml:space="preserve">, devendo realizar Estudo Técnico Preliminar </w:t>
      </w:r>
      <w:r w:rsidR="00785E1F" w:rsidRPr="00A851D9">
        <w:t>que</w:t>
      </w:r>
      <w:r w:rsidR="000D7F83" w:rsidRPr="00A851D9">
        <w:t xml:space="preserve"> demonstr</w:t>
      </w:r>
      <w:r w:rsidR="00785E1F" w:rsidRPr="00A851D9">
        <w:t>e, nesse tipo de contratação,</w:t>
      </w:r>
      <w:r w:rsidR="000D7F83" w:rsidRPr="00A851D9">
        <w:t xml:space="preserve"> a melhor solução técnica e econômica, considerando</w:t>
      </w:r>
      <w:r w:rsidR="0010618B" w:rsidRPr="00A851D9">
        <w:t>, em especial,</w:t>
      </w:r>
      <w:r w:rsidR="000D7F83" w:rsidRPr="00A851D9">
        <w:t xml:space="preserve"> a existência de plataformas públicas e gratuitas.</w:t>
      </w:r>
      <w:bookmarkEnd w:id="0"/>
    </w:p>
    <w:p w14:paraId="3F9CD410" w14:textId="36298005" w:rsidR="00074B49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O </w:t>
      </w:r>
      <w:r w:rsidR="00074B49">
        <w:rPr>
          <w:sz w:val="24"/>
          <w:szCs w:val="24"/>
        </w:rPr>
        <w:t xml:space="preserve">Plenário do </w:t>
      </w:r>
      <w:r w:rsidRPr="000D7F83">
        <w:rPr>
          <w:sz w:val="24"/>
          <w:szCs w:val="24"/>
        </w:rPr>
        <w:t xml:space="preserve">TCEES decidiu pela </w:t>
      </w:r>
      <w:r w:rsidRPr="000D7F83">
        <w:rPr>
          <w:b/>
          <w:bCs/>
          <w:sz w:val="24"/>
          <w:szCs w:val="24"/>
        </w:rPr>
        <w:t>procedência parcial</w:t>
      </w:r>
      <w:r w:rsidRPr="000D7F83">
        <w:rPr>
          <w:sz w:val="24"/>
          <w:szCs w:val="24"/>
        </w:rPr>
        <w:t xml:space="preserve"> de representação apresentada por sociedades empresárias contra diversos municípios e órgãos públicos</w:t>
      </w:r>
      <w:r w:rsidR="0020327A">
        <w:rPr>
          <w:sz w:val="24"/>
          <w:szCs w:val="24"/>
        </w:rPr>
        <w:t xml:space="preserve"> do estado</w:t>
      </w:r>
      <w:r w:rsidRPr="000D7F83">
        <w:rPr>
          <w:sz w:val="24"/>
          <w:szCs w:val="24"/>
        </w:rPr>
        <w:t xml:space="preserve">, </w:t>
      </w:r>
      <w:r w:rsidR="00074B49">
        <w:rPr>
          <w:sz w:val="24"/>
          <w:szCs w:val="24"/>
        </w:rPr>
        <w:t>bem como em face</w:t>
      </w:r>
      <w:r w:rsidRPr="000D7F83">
        <w:rPr>
          <w:sz w:val="24"/>
          <w:szCs w:val="24"/>
        </w:rPr>
        <w:t xml:space="preserve"> de empresa prestadora de serviços de plataforma de </w:t>
      </w:r>
      <w:r w:rsidR="00074B49">
        <w:rPr>
          <w:sz w:val="24"/>
          <w:szCs w:val="24"/>
        </w:rPr>
        <w:t>pregão</w:t>
      </w:r>
      <w:r w:rsidRPr="000D7F83">
        <w:rPr>
          <w:sz w:val="24"/>
          <w:szCs w:val="24"/>
        </w:rPr>
        <w:t xml:space="preserve"> online. </w:t>
      </w:r>
    </w:p>
    <w:p w14:paraId="2BD9B81E" w14:textId="67A03770" w:rsidR="000D7F83" w:rsidRPr="000D7F83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A denúncia apontou duas irregularidades principais: a </w:t>
      </w:r>
      <w:r w:rsidRPr="000D7F83">
        <w:rPr>
          <w:b/>
          <w:bCs/>
          <w:sz w:val="24"/>
          <w:szCs w:val="24"/>
        </w:rPr>
        <w:t>cobrança de taxas variáveis</w:t>
      </w:r>
      <w:r w:rsidRPr="000D7F83">
        <w:rPr>
          <w:sz w:val="24"/>
          <w:szCs w:val="24"/>
        </w:rPr>
        <w:t xml:space="preserve"> pela utilização </w:t>
      </w:r>
      <w:r w:rsidR="00074B49">
        <w:rPr>
          <w:sz w:val="24"/>
          <w:szCs w:val="24"/>
        </w:rPr>
        <w:t>de plataforma de</w:t>
      </w:r>
      <w:r w:rsidRPr="000D7F83">
        <w:rPr>
          <w:sz w:val="24"/>
          <w:szCs w:val="24"/>
        </w:rPr>
        <w:t xml:space="preserve"> pregões eletrônicos e a ausência de </w:t>
      </w:r>
      <w:r w:rsidRPr="000D7F83">
        <w:rPr>
          <w:b/>
          <w:bCs/>
          <w:sz w:val="24"/>
          <w:szCs w:val="24"/>
        </w:rPr>
        <w:t>Estudo Técnico Preliminar (ETP)</w:t>
      </w:r>
      <w:r w:rsidRPr="000D7F83">
        <w:rPr>
          <w:sz w:val="24"/>
          <w:szCs w:val="24"/>
        </w:rPr>
        <w:t xml:space="preserve"> para justificar a contratação dessa plataforma em detrimento de outras soluções no mercado.</w:t>
      </w:r>
    </w:p>
    <w:p w14:paraId="677C5708" w14:textId="02288014" w:rsidR="00074B49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No caso da </w:t>
      </w:r>
      <w:r w:rsidRPr="000D7F83">
        <w:rPr>
          <w:b/>
          <w:bCs/>
          <w:sz w:val="24"/>
          <w:szCs w:val="24"/>
        </w:rPr>
        <w:t>cobrança de taxas variáveis</w:t>
      </w:r>
      <w:r w:rsidRPr="000D7F83">
        <w:rPr>
          <w:sz w:val="24"/>
          <w:szCs w:val="24"/>
        </w:rPr>
        <w:t>, a equipe técnica concluiu que tal prática contrari</w:t>
      </w:r>
      <w:r w:rsidR="00074B49">
        <w:rPr>
          <w:sz w:val="24"/>
          <w:szCs w:val="24"/>
        </w:rPr>
        <w:t>ou</w:t>
      </w:r>
      <w:r w:rsidRPr="000D7F83">
        <w:rPr>
          <w:sz w:val="24"/>
          <w:szCs w:val="24"/>
        </w:rPr>
        <w:t xml:space="preserve"> o disposto no art. 5º, </w:t>
      </w:r>
      <w:r w:rsidR="0020327A">
        <w:rPr>
          <w:sz w:val="24"/>
          <w:szCs w:val="24"/>
        </w:rPr>
        <w:t xml:space="preserve">inciso </w:t>
      </w:r>
      <w:r w:rsidRPr="000D7F83">
        <w:rPr>
          <w:sz w:val="24"/>
          <w:szCs w:val="24"/>
        </w:rPr>
        <w:t>III, da Lei Federal 10.520/2002, que veda</w:t>
      </w:r>
      <w:r w:rsidR="00074B49">
        <w:rPr>
          <w:sz w:val="24"/>
          <w:szCs w:val="24"/>
        </w:rPr>
        <w:t>va</w:t>
      </w:r>
      <w:r w:rsidRPr="000D7F83">
        <w:rPr>
          <w:sz w:val="24"/>
          <w:szCs w:val="24"/>
        </w:rPr>
        <w:t xml:space="preserve"> a exigência de pagamento de </w:t>
      </w:r>
      <w:r w:rsidR="00074B49">
        <w:rPr>
          <w:sz w:val="24"/>
          <w:szCs w:val="24"/>
        </w:rPr>
        <w:t xml:space="preserve">taxas e </w:t>
      </w:r>
      <w:r w:rsidRPr="000D7F83">
        <w:rPr>
          <w:sz w:val="24"/>
          <w:szCs w:val="24"/>
        </w:rPr>
        <w:t>emolumentos</w:t>
      </w:r>
      <w:r w:rsidR="00074B49">
        <w:rPr>
          <w:sz w:val="24"/>
          <w:szCs w:val="24"/>
        </w:rPr>
        <w:t xml:space="preserve"> para participação em pregões</w:t>
      </w:r>
      <w:r w:rsidRPr="000D7F83">
        <w:rPr>
          <w:sz w:val="24"/>
          <w:szCs w:val="24"/>
        </w:rPr>
        <w:t>, exceto aqueles que correspon</w:t>
      </w:r>
      <w:r w:rsidR="00074B49">
        <w:rPr>
          <w:sz w:val="24"/>
          <w:szCs w:val="24"/>
        </w:rPr>
        <w:t>dessem</w:t>
      </w:r>
      <w:r w:rsidRPr="000D7F83">
        <w:rPr>
          <w:sz w:val="24"/>
          <w:szCs w:val="24"/>
        </w:rPr>
        <w:t xml:space="preserve"> estritamente aos </w:t>
      </w:r>
      <w:r w:rsidRPr="000D7F83">
        <w:rPr>
          <w:b/>
          <w:bCs/>
          <w:sz w:val="24"/>
          <w:szCs w:val="24"/>
        </w:rPr>
        <w:t>custos de utilização dos recursos de tecnologia da informação</w:t>
      </w:r>
      <w:r w:rsidRPr="000D7F83">
        <w:rPr>
          <w:sz w:val="24"/>
          <w:szCs w:val="24"/>
        </w:rPr>
        <w:t xml:space="preserve">. </w:t>
      </w:r>
    </w:p>
    <w:p w14:paraId="5A792246" w14:textId="214781D0" w:rsidR="000D7F83" w:rsidRPr="000D7F83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No caso da </w:t>
      </w:r>
      <w:r w:rsidR="00074B49">
        <w:rPr>
          <w:sz w:val="24"/>
          <w:szCs w:val="24"/>
        </w:rPr>
        <w:t>empresa que fora objeto de representação</w:t>
      </w:r>
      <w:r w:rsidRPr="000D7F83">
        <w:rPr>
          <w:sz w:val="24"/>
          <w:szCs w:val="24"/>
        </w:rPr>
        <w:t>, o valor</w:t>
      </w:r>
      <w:r w:rsidR="00074B49">
        <w:rPr>
          <w:sz w:val="24"/>
          <w:szCs w:val="24"/>
        </w:rPr>
        <w:t xml:space="preserve"> </w:t>
      </w:r>
      <w:r w:rsidRPr="000D7F83">
        <w:rPr>
          <w:sz w:val="24"/>
          <w:szCs w:val="24"/>
        </w:rPr>
        <w:t xml:space="preserve">cobrado era </w:t>
      </w:r>
      <w:r w:rsidRPr="000D7F83">
        <w:rPr>
          <w:b/>
          <w:bCs/>
          <w:sz w:val="24"/>
          <w:szCs w:val="24"/>
        </w:rPr>
        <w:t>vinculado ao valor do lote adjudicado pelo vencedor</w:t>
      </w:r>
      <w:r w:rsidRPr="000D7F83">
        <w:rPr>
          <w:sz w:val="24"/>
          <w:szCs w:val="24"/>
        </w:rPr>
        <w:t>, o que não reflet</w:t>
      </w:r>
      <w:r w:rsidR="00074B49">
        <w:rPr>
          <w:sz w:val="24"/>
          <w:szCs w:val="24"/>
        </w:rPr>
        <w:t>ia</w:t>
      </w:r>
      <w:r w:rsidRPr="000D7F83">
        <w:rPr>
          <w:sz w:val="24"/>
          <w:szCs w:val="24"/>
        </w:rPr>
        <w:t xml:space="preserve"> os custos reais de utilização da plataforma, </w:t>
      </w:r>
      <w:r w:rsidRPr="000D7F83">
        <w:rPr>
          <w:b/>
          <w:bCs/>
          <w:sz w:val="24"/>
          <w:szCs w:val="24"/>
        </w:rPr>
        <w:t xml:space="preserve">violando o princípio da razoabilidade e </w:t>
      </w:r>
      <w:r w:rsidR="0020327A">
        <w:rPr>
          <w:b/>
          <w:bCs/>
          <w:sz w:val="24"/>
          <w:szCs w:val="24"/>
        </w:rPr>
        <w:t xml:space="preserve">o </w:t>
      </w:r>
      <w:r w:rsidRPr="000D7F83">
        <w:rPr>
          <w:b/>
          <w:bCs/>
          <w:sz w:val="24"/>
          <w:szCs w:val="24"/>
        </w:rPr>
        <w:t>da ampla competição</w:t>
      </w:r>
      <w:r w:rsidRPr="000D7F83">
        <w:rPr>
          <w:sz w:val="24"/>
          <w:szCs w:val="24"/>
        </w:rPr>
        <w:t xml:space="preserve">. </w:t>
      </w:r>
    </w:p>
    <w:p w14:paraId="7424CD4A" w14:textId="7A449AA1" w:rsidR="000D7F83" w:rsidRPr="000D7F83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Outro ponto relevante tratado foi a </w:t>
      </w:r>
      <w:r w:rsidRPr="000D7F83">
        <w:rPr>
          <w:b/>
          <w:bCs/>
          <w:sz w:val="24"/>
          <w:szCs w:val="24"/>
        </w:rPr>
        <w:t>falta de Estudo Técnico Preliminar</w:t>
      </w:r>
      <w:r w:rsidR="00074B49">
        <w:rPr>
          <w:b/>
          <w:bCs/>
          <w:sz w:val="24"/>
          <w:szCs w:val="24"/>
        </w:rPr>
        <w:t xml:space="preserve"> (ET</w:t>
      </w:r>
      <w:r w:rsidR="0020327A">
        <w:rPr>
          <w:b/>
          <w:bCs/>
          <w:sz w:val="24"/>
          <w:szCs w:val="24"/>
        </w:rPr>
        <w:t>P</w:t>
      </w:r>
      <w:r w:rsidR="00074B49">
        <w:rPr>
          <w:b/>
          <w:bCs/>
          <w:sz w:val="24"/>
          <w:szCs w:val="24"/>
        </w:rPr>
        <w:t>) nas contratações da referida empresa</w:t>
      </w:r>
      <w:r w:rsidRPr="000D7F83">
        <w:rPr>
          <w:sz w:val="24"/>
          <w:szCs w:val="24"/>
        </w:rPr>
        <w:t xml:space="preserve">. O ETP é </w:t>
      </w:r>
      <w:r w:rsidR="0020327A">
        <w:rPr>
          <w:sz w:val="24"/>
          <w:szCs w:val="24"/>
        </w:rPr>
        <w:t xml:space="preserve">peça </w:t>
      </w:r>
      <w:r w:rsidRPr="000D7F83">
        <w:rPr>
          <w:sz w:val="24"/>
          <w:szCs w:val="24"/>
        </w:rPr>
        <w:t xml:space="preserve">fundamental para a contratação de soluções tecnológicas pela Administração Pública, pois demonstra a viabilidade técnica e econômica da escolha de uma plataforma específica. A análise técnica destacou que a ausência desse estudo nas contratações </w:t>
      </w:r>
      <w:r w:rsidR="0010618B">
        <w:rPr>
          <w:sz w:val="24"/>
          <w:szCs w:val="24"/>
        </w:rPr>
        <w:t xml:space="preserve">foi </w:t>
      </w:r>
      <w:r w:rsidRPr="000D7F83">
        <w:rPr>
          <w:sz w:val="24"/>
          <w:szCs w:val="24"/>
        </w:rPr>
        <w:t>especialmente grave, uma vez que exist</w:t>
      </w:r>
      <w:r w:rsidR="0010618B">
        <w:rPr>
          <w:sz w:val="24"/>
          <w:szCs w:val="24"/>
        </w:rPr>
        <w:t>ia</w:t>
      </w:r>
      <w:r w:rsidRPr="000D7F83">
        <w:rPr>
          <w:sz w:val="24"/>
          <w:szCs w:val="24"/>
        </w:rPr>
        <w:t xml:space="preserve">m </w:t>
      </w:r>
      <w:r w:rsidRPr="000D7F83">
        <w:rPr>
          <w:b/>
          <w:bCs/>
          <w:sz w:val="24"/>
          <w:szCs w:val="24"/>
        </w:rPr>
        <w:t>plataformas públicas gratuitas</w:t>
      </w:r>
      <w:r w:rsidRPr="000D7F83">
        <w:rPr>
          <w:sz w:val="24"/>
          <w:szCs w:val="24"/>
        </w:rPr>
        <w:t xml:space="preserve"> que poderiam ser consideradas como alternativas. </w:t>
      </w:r>
      <w:r w:rsidR="0010618B">
        <w:rPr>
          <w:sz w:val="24"/>
          <w:szCs w:val="24"/>
        </w:rPr>
        <w:t>Nesses casos, o</w:t>
      </w:r>
      <w:r w:rsidRPr="000D7F83">
        <w:rPr>
          <w:sz w:val="24"/>
          <w:szCs w:val="24"/>
        </w:rPr>
        <w:t xml:space="preserve"> ETP deveria</w:t>
      </w:r>
      <w:r w:rsidR="0010618B">
        <w:rPr>
          <w:sz w:val="24"/>
          <w:szCs w:val="24"/>
        </w:rPr>
        <w:t xml:space="preserve"> </w:t>
      </w:r>
      <w:r w:rsidRPr="000D7F83">
        <w:rPr>
          <w:sz w:val="24"/>
          <w:szCs w:val="24"/>
        </w:rPr>
        <w:t>evidenciar que a solução mais onerosa (</w:t>
      </w:r>
      <w:r w:rsidR="0020327A">
        <w:rPr>
          <w:sz w:val="24"/>
          <w:szCs w:val="24"/>
        </w:rPr>
        <w:t>ainda</w:t>
      </w:r>
      <w:r w:rsidRPr="000D7F83">
        <w:rPr>
          <w:sz w:val="24"/>
          <w:szCs w:val="24"/>
        </w:rPr>
        <w:t xml:space="preserve"> que os custos sejam repassados apenas aos licitantes) é a mais adequada para atender às necessidades da Administração. </w:t>
      </w:r>
    </w:p>
    <w:p w14:paraId="693558F3" w14:textId="05471C6F" w:rsidR="0010618B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Diante disso, o </w:t>
      </w:r>
      <w:r w:rsidRPr="000D7F83">
        <w:rPr>
          <w:b/>
          <w:bCs/>
          <w:sz w:val="24"/>
          <w:szCs w:val="24"/>
        </w:rPr>
        <w:t>Plenário do TCEES</w:t>
      </w:r>
      <w:r w:rsidRPr="000D7F83">
        <w:rPr>
          <w:sz w:val="24"/>
          <w:szCs w:val="24"/>
        </w:rPr>
        <w:t xml:space="preserve"> deliberou</w:t>
      </w:r>
      <w:r w:rsidR="0010618B">
        <w:rPr>
          <w:sz w:val="24"/>
          <w:szCs w:val="24"/>
        </w:rPr>
        <w:t>, à unanimidade,</w:t>
      </w:r>
      <w:r w:rsidRPr="000D7F83">
        <w:rPr>
          <w:sz w:val="24"/>
          <w:szCs w:val="24"/>
        </w:rPr>
        <w:t xml:space="preserve"> pela </w:t>
      </w:r>
      <w:r w:rsidRPr="000D7F83">
        <w:rPr>
          <w:b/>
          <w:bCs/>
          <w:sz w:val="24"/>
          <w:szCs w:val="24"/>
        </w:rPr>
        <w:t>procedência parcial</w:t>
      </w:r>
      <w:r w:rsidRPr="000D7F83">
        <w:rPr>
          <w:sz w:val="24"/>
          <w:szCs w:val="24"/>
        </w:rPr>
        <w:t xml:space="preserve"> da representação, confirmando a </w:t>
      </w:r>
      <w:r w:rsidRPr="000D7F83">
        <w:rPr>
          <w:b/>
          <w:bCs/>
          <w:sz w:val="24"/>
          <w:szCs w:val="24"/>
        </w:rPr>
        <w:t>irregularidade da cobrança de taxas variáveis</w:t>
      </w:r>
      <w:r w:rsidRPr="000D7F83">
        <w:rPr>
          <w:sz w:val="24"/>
          <w:szCs w:val="24"/>
        </w:rPr>
        <w:t xml:space="preserve"> e recomendando que os órgãos públicos envolvidos </w:t>
      </w:r>
      <w:r w:rsidR="0020327A">
        <w:rPr>
          <w:b/>
          <w:bCs/>
          <w:sz w:val="24"/>
          <w:szCs w:val="24"/>
        </w:rPr>
        <w:t>elaborem</w:t>
      </w:r>
      <w:r w:rsidRPr="000D7F83">
        <w:rPr>
          <w:b/>
          <w:bCs/>
          <w:sz w:val="24"/>
          <w:szCs w:val="24"/>
        </w:rPr>
        <w:t xml:space="preserve"> Estudo Técnico Preliminar</w:t>
      </w:r>
      <w:r w:rsidRPr="000D7F83">
        <w:rPr>
          <w:sz w:val="24"/>
          <w:szCs w:val="24"/>
        </w:rPr>
        <w:t xml:space="preserve"> ao contratar plataformas de licitação, </w:t>
      </w:r>
      <w:r w:rsidR="0010618B">
        <w:rPr>
          <w:sz w:val="24"/>
          <w:szCs w:val="24"/>
        </w:rPr>
        <w:t>considerando, em especial, a</w:t>
      </w:r>
      <w:r w:rsidRPr="000D7F83">
        <w:rPr>
          <w:sz w:val="24"/>
          <w:szCs w:val="24"/>
        </w:rPr>
        <w:t xml:space="preserve"> </w:t>
      </w:r>
      <w:r w:rsidR="0020327A">
        <w:rPr>
          <w:sz w:val="24"/>
          <w:szCs w:val="24"/>
        </w:rPr>
        <w:t xml:space="preserve">disponibilidade </w:t>
      </w:r>
      <w:r w:rsidRPr="000D7F83">
        <w:rPr>
          <w:sz w:val="24"/>
          <w:szCs w:val="24"/>
        </w:rPr>
        <w:t xml:space="preserve">de </w:t>
      </w:r>
      <w:r w:rsidRPr="000D7F83">
        <w:rPr>
          <w:b/>
          <w:bCs/>
          <w:sz w:val="24"/>
          <w:szCs w:val="24"/>
        </w:rPr>
        <w:t xml:space="preserve">plataformas públicas e </w:t>
      </w:r>
      <w:r w:rsidR="0010618B">
        <w:rPr>
          <w:b/>
          <w:bCs/>
          <w:sz w:val="24"/>
          <w:szCs w:val="24"/>
        </w:rPr>
        <w:t xml:space="preserve">totalmente </w:t>
      </w:r>
      <w:r w:rsidRPr="000D7F83">
        <w:rPr>
          <w:b/>
          <w:bCs/>
          <w:sz w:val="24"/>
          <w:szCs w:val="24"/>
        </w:rPr>
        <w:t>gratuitas</w:t>
      </w:r>
      <w:r w:rsidRPr="000D7F83">
        <w:rPr>
          <w:sz w:val="24"/>
          <w:szCs w:val="24"/>
        </w:rPr>
        <w:t xml:space="preserve">. </w:t>
      </w:r>
    </w:p>
    <w:p w14:paraId="42E4855F" w14:textId="3A79AED8" w:rsidR="000D7F83" w:rsidRDefault="000D7F83" w:rsidP="000D7F83">
      <w:pPr>
        <w:rPr>
          <w:sz w:val="24"/>
          <w:szCs w:val="24"/>
        </w:rPr>
      </w:pPr>
      <w:r w:rsidRPr="000D7F83">
        <w:rPr>
          <w:sz w:val="24"/>
          <w:szCs w:val="24"/>
        </w:rPr>
        <w:t xml:space="preserve">Além disso, foi recomendada a </w:t>
      </w:r>
      <w:r w:rsidRPr="000D7F83">
        <w:rPr>
          <w:b/>
          <w:bCs/>
          <w:sz w:val="24"/>
          <w:szCs w:val="24"/>
        </w:rPr>
        <w:t>abstenção de contratação de plataformas que cobrem taxas variáveis</w:t>
      </w:r>
      <w:r w:rsidRPr="000D7F83">
        <w:rPr>
          <w:sz w:val="24"/>
          <w:szCs w:val="24"/>
        </w:rPr>
        <w:t xml:space="preserve">, pois isso compromete a </w:t>
      </w:r>
      <w:r w:rsidRPr="000D7F83">
        <w:rPr>
          <w:b/>
          <w:bCs/>
          <w:sz w:val="24"/>
          <w:szCs w:val="24"/>
        </w:rPr>
        <w:t>competição</w:t>
      </w:r>
      <w:r w:rsidRPr="000D7F83">
        <w:rPr>
          <w:sz w:val="24"/>
          <w:szCs w:val="24"/>
        </w:rPr>
        <w:t xml:space="preserve"> entre os licitantes e fere os princípios que regem a administração pública.</w:t>
      </w:r>
    </w:p>
    <w:p w14:paraId="182C9FD6" w14:textId="5D062916" w:rsidR="0010618B" w:rsidRPr="000D7F83" w:rsidRDefault="0010618B" w:rsidP="000D7F83">
      <w:pPr>
        <w:rPr>
          <w:sz w:val="24"/>
          <w:szCs w:val="24"/>
        </w:rPr>
      </w:pPr>
      <w:hyperlink r:id="rId8" w:history="1">
        <w:r w:rsidRPr="0010618B">
          <w:rPr>
            <w:rStyle w:val="Hyperlink"/>
            <w:sz w:val="24"/>
            <w:szCs w:val="24"/>
          </w:rPr>
          <w:t>Acórdão TC 921/2024</w:t>
        </w:r>
      </w:hyperlink>
      <w:r>
        <w:rPr>
          <w:sz w:val="24"/>
          <w:szCs w:val="24"/>
        </w:rPr>
        <w:t>, Processo TC 3438/2023, relator conselheiro Sebastião Carlos Ranna de Macedo, publicado em 26/08/2024.</w:t>
      </w:r>
    </w:p>
    <w:p w14:paraId="4946118F" w14:textId="312C8D9C" w:rsidR="00D330DC" w:rsidRPr="00AD1439" w:rsidRDefault="00732179" w:rsidP="00D330DC">
      <w:pPr>
        <w:shd w:val="clear" w:color="auto" w:fill="FFFFFF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 xml:space="preserve">2. </w:t>
      </w:r>
      <w:r w:rsidR="00D330DC" w:rsidRPr="00AD1439">
        <w:rPr>
          <w:rFonts w:eastAsia="Times New Roman"/>
          <w:b/>
          <w:sz w:val="24"/>
          <w:szCs w:val="24"/>
          <w:lang w:eastAsia="pt-BR"/>
        </w:rPr>
        <w:t xml:space="preserve">PESSOAL. </w:t>
      </w:r>
      <w:r w:rsidR="00D330DC">
        <w:rPr>
          <w:rFonts w:eastAsia="Times New Roman"/>
          <w:b/>
          <w:sz w:val="24"/>
          <w:szCs w:val="24"/>
          <w:lang w:eastAsia="pt-BR"/>
        </w:rPr>
        <w:t xml:space="preserve">MAGISTÉRIO. PISO SALARIAL NACIONAL. PREJULGADO.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1. O critério de atualização do </w:t>
      </w:r>
      <w:r w:rsidR="009E1B5D" w:rsidRPr="009E1B5D">
        <w:rPr>
          <w:rFonts w:eastAsia="Times New Roman"/>
          <w:b/>
          <w:bCs/>
          <w:sz w:val="24"/>
          <w:szCs w:val="24"/>
          <w:lang w:eastAsia="pt-BR"/>
        </w:rPr>
        <w:t>piso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 salarial nacional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do </w:t>
      </w:r>
      <w:r w:rsidR="009E1B5D" w:rsidRPr="009E1B5D">
        <w:rPr>
          <w:rFonts w:eastAsia="Times New Roman"/>
          <w:b/>
          <w:bCs/>
          <w:sz w:val="24"/>
          <w:szCs w:val="24"/>
          <w:lang w:eastAsia="pt-BR"/>
        </w:rPr>
        <w:t>magistério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 público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da educação básica </w:t>
      </w:r>
      <w:r w:rsidR="009E1B5D">
        <w:rPr>
          <w:rFonts w:eastAsia="Times New Roman"/>
          <w:b/>
          <w:sz w:val="24"/>
          <w:szCs w:val="24"/>
          <w:lang w:eastAsia="pt-BR"/>
        </w:rPr>
        <w:t>é o previsto no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parágrafo único do art. 5º da Lei 11.738/2008, plenamente em vigor, </w:t>
      </w:r>
      <w:r w:rsidR="009E1B5D">
        <w:rPr>
          <w:rFonts w:eastAsia="Times New Roman"/>
          <w:b/>
          <w:sz w:val="24"/>
          <w:szCs w:val="24"/>
          <w:lang w:eastAsia="pt-BR"/>
        </w:rPr>
        <w:t>sendo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calculado 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no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mesmo percentual de correção atribuído ao indicador “valor anual mínimo por aluno”, </w:t>
      </w:r>
      <w:r w:rsidR="009E1B5D">
        <w:rPr>
          <w:rFonts w:eastAsia="Times New Roman"/>
          <w:b/>
          <w:sz w:val="24"/>
          <w:szCs w:val="24"/>
          <w:lang w:eastAsia="pt-BR"/>
        </w:rPr>
        <w:t>previsto atualmente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n</w:t>
      </w:r>
      <w:r w:rsidR="009E1B5D">
        <w:rPr>
          <w:rFonts w:eastAsia="Times New Roman"/>
          <w:b/>
          <w:sz w:val="24"/>
          <w:szCs w:val="24"/>
          <w:lang w:eastAsia="pt-BR"/>
        </w:rPr>
        <w:t>o art. 12, § 1º, da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Lei 14.113/2020 (regulamentadora do “novo Fundeb”)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. 2.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A Lei 11.738/2008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foi recepcionada pela Emenda Constitucional nº 108/2020, uma vez que o seu conteúdo não guarda nenhum conflito com o inciso XII do art. 212-A da CF/88.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3.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O Supremo Tribunal Federal</w:t>
      </w:r>
      <w:r w:rsidR="00C379D6">
        <w:rPr>
          <w:rFonts w:eastAsia="Times New Roman"/>
          <w:b/>
          <w:sz w:val="24"/>
          <w:szCs w:val="24"/>
          <w:lang w:eastAsia="pt-BR"/>
        </w:rPr>
        <w:t>,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além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de confirmar a constitucionalidade do </w:t>
      </w:r>
      <w:r w:rsidR="009E1B5D" w:rsidRPr="009E1B5D">
        <w:rPr>
          <w:rFonts w:eastAsia="Times New Roman"/>
          <w:b/>
          <w:bCs/>
          <w:sz w:val="24"/>
          <w:szCs w:val="24"/>
          <w:lang w:eastAsia="pt-BR"/>
        </w:rPr>
        <w:t>piso</w:t>
      </w:r>
      <w:r w:rsidR="00C379D6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e de sua forma de atualização/reajuste, também considera que </w:t>
      </w:r>
      <w:r w:rsidR="00C379D6">
        <w:rPr>
          <w:rFonts w:eastAsia="Times New Roman"/>
          <w:b/>
          <w:sz w:val="24"/>
          <w:szCs w:val="24"/>
          <w:lang w:eastAsia="pt-BR"/>
        </w:rPr>
        <w:t>su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a instituição e pagamento aos entes da federação não conflita</w:t>
      </w:r>
      <w:r w:rsidR="00C379D6">
        <w:rPr>
          <w:rFonts w:eastAsia="Times New Roman"/>
          <w:b/>
          <w:sz w:val="24"/>
          <w:szCs w:val="24"/>
          <w:lang w:eastAsia="pt-BR"/>
        </w:rPr>
        <w:t>m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 xml:space="preserve"> com o disposto no § 7º, do art. 167, CF/88</w:t>
      </w:r>
      <w:r w:rsidR="009E1B5D">
        <w:rPr>
          <w:rFonts w:eastAsia="Times New Roman"/>
          <w:b/>
          <w:sz w:val="24"/>
          <w:szCs w:val="24"/>
          <w:lang w:eastAsia="pt-BR"/>
        </w:rPr>
        <w:t>.</w:t>
      </w:r>
      <w:r w:rsidR="00C379D6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4. 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>Caso a concessão do </w:t>
      </w:r>
      <w:r w:rsidR="00D330DC" w:rsidRPr="00D330DC">
        <w:rPr>
          <w:rFonts w:eastAsia="Times New Roman"/>
          <w:b/>
          <w:bCs/>
          <w:sz w:val="24"/>
          <w:szCs w:val="24"/>
          <w:lang w:eastAsia="pt-BR"/>
        </w:rPr>
        <w:t>piso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> implique</w:t>
      </w:r>
      <w:r w:rsidR="00C379D6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ultrapassagem do limite de despesas de pessoal, devem ser observadas as disposições </w:t>
      </w:r>
      <w:r w:rsidR="009E1B5D">
        <w:rPr>
          <w:rFonts w:eastAsia="Times New Roman"/>
          <w:b/>
          <w:sz w:val="24"/>
          <w:szCs w:val="24"/>
          <w:lang w:eastAsia="pt-BR"/>
        </w:rPr>
        <w:t>do art. 23 da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 LRF para eliminação do 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percentual 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excedente. 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5. 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>O </w:t>
      </w:r>
      <w:r w:rsidR="00D330DC" w:rsidRPr="00D330DC">
        <w:rPr>
          <w:rFonts w:eastAsia="Times New Roman"/>
          <w:b/>
          <w:bCs/>
          <w:sz w:val="24"/>
          <w:szCs w:val="24"/>
          <w:lang w:eastAsia="pt-BR"/>
        </w:rPr>
        <w:t>piso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 salarial </w:t>
      </w:r>
      <w:r w:rsidR="00C379D6">
        <w:rPr>
          <w:rFonts w:eastAsia="Times New Roman"/>
          <w:b/>
          <w:sz w:val="24"/>
          <w:szCs w:val="24"/>
          <w:lang w:eastAsia="pt-BR"/>
        </w:rPr>
        <w:t>se refere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 ao vencimento inicial da carreira</w:t>
      </w:r>
      <w:r w:rsidR="00C379D6">
        <w:rPr>
          <w:rFonts w:eastAsia="Times New Roman"/>
          <w:b/>
          <w:sz w:val="24"/>
          <w:szCs w:val="24"/>
          <w:lang w:eastAsia="pt-BR"/>
        </w:rPr>
        <w:t xml:space="preserve"> e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 xml:space="preserve"> não à 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sua 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>remuneração total</w:t>
      </w:r>
      <w:r w:rsidR="009E1B5D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E1B5D" w:rsidRPr="009E1B5D">
        <w:rPr>
          <w:rFonts w:eastAsia="Times New Roman"/>
          <w:b/>
          <w:sz w:val="24"/>
          <w:szCs w:val="24"/>
          <w:lang w:eastAsia="pt-BR"/>
        </w:rPr>
        <w:t>(salário ou vencimento acrescido de adicionais, gratificações ou vantagens)</w:t>
      </w:r>
      <w:r w:rsidR="00D330DC" w:rsidRPr="00D330DC">
        <w:rPr>
          <w:rFonts w:eastAsia="Times New Roman"/>
          <w:b/>
          <w:sz w:val="24"/>
          <w:szCs w:val="24"/>
          <w:lang w:eastAsia="pt-BR"/>
        </w:rPr>
        <w:t>.</w:t>
      </w:r>
    </w:p>
    <w:p w14:paraId="201C85E0" w14:textId="034FEEDA" w:rsidR="00D330DC" w:rsidRPr="00AD1439" w:rsidRDefault="00D330DC" w:rsidP="00D330DC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 xml:space="preserve">Trata-se de </w:t>
      </w:r>
      <w:r>
        <w:rPr>
          <w:rFonts w:eastAsia="Times New Roman"/>
          <w:sz w:val="24"/>
          <w:szCs w:val="24"/>
          <w:lang w:eastAsia="pt-BR"/>
        </w:rPr>
        <w:t>i</w:t>
      </w:r>
      <w:r w:rsidRPr="00AD1439">
        <w:rPr>
          <w:rFonts w:eastAsia="Times New Roman"/>
          <w:sz w:val="24"/>
          <w:szCs w:val="24"/>
          <w:lang w:eastAsia="pt-BR"/>
        </w:rPr>
        <w:t xml:space="preserve">ncidente de </w:t>
      </w:r>
      <w:r>
        <w:rPr>
          <w:rFonts w:eastAsia="Times New Roman"/>
          <w:sz w:val="24"/>
          <w:szCs w:val="24"/>
          <w:lang w:eastAsia="pt-BR"/>
        </w:rPr>
        <w:t>p</w:t>
      </w:r>
      <w:r w:rsidRPr="00AD1439">
        <w:rPr>
          <w:rFonts w:eastAsia="Times New Roman"/>
          <w:sz w:val="24"/>
          <w:szCs w:val="24"/>
          <w:lang w:eastAsia="pt-BR"/>
        </w:rPr>
        <w:t xml:space="preserve">rejulgado instaurado pelo Plenário do TCEES, por meio da Decisão TC-005/2024, nos autos do Processo TC 4553/2022, que </w:t>
      </w:r>
      <w:r>
        <w:rPr>
          <w:rFonts w:eastAsia="Times New Roman"/>
          <w:sz w:val="24"/>
          <w:szCs w:val="24"/>
          <w:lang w:eastAsia="pt-BR"/>
        </w:rPr>
        <w:t>tratou</w:t>
      </w:r>
      <w:r w:rsidRPr="00AD1439">
        <w:rPr>
          <w:rFonts w:eastAsia="Times New Roman"/>
          <w:sz w:val="24"/>
          <w:szCs w:val="24"/>
          <w:lang w:eastAsia="pt-BR"/>
        </w:rPr>
        <w:t xml:space="preserve"> de </w:t>
      </w:r>
      <w:r>
        <w:rPr>
          <w:rFonts w:eastAsia="Times New Roman"/>
          <w:sz w:val="24"/>
          <w:szCs w:val="24"/>
          <w:lang w:eastAsia="pt-BR"/>
        </w:rPr>
        <w:t>r</w:t>
      </w:r>
      <w:r w:rsidRPr="00AD1439">
        <w:rPr>
          <w:rFonts w:eastAsia="Times New Roman"/>
          <w:sz w:val="24"/>
          <w:szCs w:val="24"/>
          <w:lang w:eastAsia="pt-BR"/>
        </w:rPr>
        <w:t xml:space="preserve">epresentação noticiando </w:t>
      </w:r>
      <w:r w:rsidR="0020327A">
        <w:rPr>
          <w:rFonts w:eastAsia="Times New Roman"/>
          <w:sz w:val="24"/>
          <w:szCs w:val="24"/>
          <w:lang w:eastAsia="pt-BR"/>
        </w:rPr>
        <w:t>possíveis</w:t>
      </w:r>
      <w:r w:rsidRPr="00AD1439">
        <w:rPr>
          <w:rFonts w:eastAsia="Times New Roman"/>
          <w:sz w:val="24"/>
          <w:szCs w:val="24"/>
          <w:lang w:eastAsia="pt-BR"/>
        </w:rPr>
        <w:t xml:space="preserve"> descumpri</w:t>
      </w:r>
      <w:r>
        <w:rPr>
          <w:rFonts w:eastAsia="Times New Roman"/>
          <w:sz w:val="24"/>
          <w:szCs w:val="24"/>
          <w:lang w:eastAsia="pt-BR"/>
        </w:rPr>
        <w:t>mento</w:t>
      </w:r>
      <w:r w:rsidR="0020327A">
        <w:rPr>
          <w:rFonts w:eastAsia="Times New Roman"/>
          <w:sz w:val="24"/>
          <w:szCs w:val="24"/>
          <w:lang w:eastAsia="pt-BR"/>
        </w:rPr>
        <w:t>s</w:t>
      </w:r>
      <w:r w:rsidRPr="00AD1439">
        <w:rPr>
          <w:rFonts w:eastAsia="Times New Roman"/>
          <w:sz w:val="24"/>
          <w:szCs w:val="24"/>
          <w:lang w:eastAsia="pt-BR"/>
        </w:rPr>
        <w:t xml:space="preserve"> do piso salarial nacional dos profissionais do magistério da educação pública, instituído pela Lei Federal 11.738/2008</w:t>
      </w:r>
      <w:r>
        <w:rPr>
          <w:rFonts w:eastAsia="Times New Roman"/>
          <w:sz w:val="24"/>
          <w:szCs w:val="24"/>
          <w:lang w:eastAsia="pt-BR"/>
        </w:rPr>
        <w:t>.</w:t>
      </w:r>
    </w:p>
    <w:p w14:paraId="01489D93" w14:textId="3836EC4E" w:rsidR="00D330DC" w:rsidRPr="00AD1439" w:rsidRDefault="00D330DC" w:rsidP="00D330DC">
      <w:pPr>
        <w:shd w:val="clear" w:color="auto" w:fill="FFFFFF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>Diante da controvérsia do assunto, baseada na existência de decisões judiciais divergentes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AD1439">
        <w:rPr>
          <w:rFonts w:eastAsia="Times New Roman"/>
          <w:sz w:val="24"/>
          <w:szCs w:val="24"/>
          <w:lang w:eastAsia="pt-BR"/>
        </w:rPr>
        <w:t xml:space="preserve">a respeito da obrigatoriedade ou não da aplicação do piso, o incidente </w:t>
      </w:r>
      <w:r>
        <w:rPr>
          <w:rFonts w:eastAsia="Times New Roman"/>
          <w:sz w:val="24"/>
          <w:szCs w:val="24"/>
          <w:lang w:eastAsia="pt-BR"/>
        </w:rPr>
        <w:t xml:space="preserve">de prejulgado </w:t>
      </w:r>
      <w:r w:rsidRPr="00AD1439">
        <w:rPr>
          <w:rFonts w:eastAsia="Times New Roman"/>
          <w:sz w:val="24"/>
          <w:szCs w:val="24"/>
          <w:lang w:eastAsia="pt-BR"/>
        </w:rPr>
        <w:t xml:space="preserve">foi autuado visando a obtenção de respostas para os seguintes </w:t>
      </w:r>
      <w:r>
        <w:rPr>
          <w:rFonts w:eastAsia="Times New Roman"/>
          <w:sz w:val="24"/>
          <w:szCs w:val="24"/>
          <w:lang w:eastAsia="pt-BR"/>
        </w:rPr>
        <w:t>pontos</w:t>
      </w:r>
      <w:r w:rsidRPr="00AD1439">
        <w:rPr>
          <w:rFonts w:eastAsia="Times New Roman"/>
          <w:sz w:val="24"/>
          <w:szCs w:val="24"/>
          <w:lang w:eastAsia="pt-BR"/>
        </w:rPr>
        <w:t xml:space="preserve">: </w:t>
      </w:r>
    </w:p>
    <w:p w14:paraId="59D1B08C" w14:textId="77777777" w:rsidR="00D330DC" w:rsidRPr="00AD1439" w:rsidRDefault="00D330DC" w:rsidP="00D330DC">
      <w:pPr>
        <w:shd w:val="clear" w:color="auto" w:fill="FFFFFF"/>
        <w:ind w:left="708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 xml:space="preserve">(i) se a revogação da Lei nº 11.494/2007 pela Lei nº 14.113/2020 representou ou não a extinção do critério de atualização do piso nacional salarial dos profissionais do magistério público da educação básica; </w:t>
      </w:r>
    </w:p>
    <w:p w14:paraId="5C6EC1C7" w14:textId="77777777" w:rsidR="00D330DC" w:rsidRPr="00AD1439" w:rsidRDefault="00D330DC" w:rsidP="00D330DC">
      <w:pPr>
        <w:shd w:val="clear" w:color="auto" w:fill="FFFFFF"/>
        <w:ind w:left="708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>(</w:t>
      </w:r>
      <w:proofErr w:type="spellStart"/>
      <w:r w:rsidRPr="00AD1439">
        <w:rPr>
          <w:rFonts w:eastAsia="Times New Roman"/>
          <w:sz w:val="24"/>
          <w:szCs w:val="24"/>
          <w:lang w:eastAsia="pt-BR"/>
        </w:rPr>
        <w:t>ii</w:t>
      </w:r>
      <w:proofErr w:type="spellEnd"/>
      <w:r w:rsidRPr="00AD1439">
        <w:rPr>
          <w:rFonts w:eastAsia="Times New Roman"/>
          <w:sz w:val="24"/>
          <w:szCs w:val="24"/>
          <w:lang w:eastAsia="pt-BR"/>
        </w:rPr>
        <w:t xml:space="preserve">) se a "lei específica" exigida pelo art. 212-A, inciso XII, da CF/88 seria a Lei nº 11.738/2008 ou se a mencionada Lei foi recepcionada pela Emenda Constitucional nº 108/2020; </w:t>
      </w:r>
    </w:p>
    <w:p w14:paraId="200CC936" w14:textId="77777777" w:rsidR="00D330DC" w:rsidRPr="00AD1439" w:rsidRDefault="00D330DC" w:rsidP="00D330DC">
      <w:pPr>
        <w:shd w:val="clear" w:color="auto" w:fill="FFFFFF"/>
        <w:ind w:left="708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>(</w:t>
      </w:r>
      <w:proofErr w:type="spellStart"/>
      <w:r w:rsidRPr="00AD1439">
        <w:rPr>
          <w:rFonts w:eastAsia="Times New Roman"/>
          <w:sz w:val="24"/>
          <w:szCs w:val="24"/>
          <w:lang w:eastAsia="pt-BR"/>
        </w:rPr>
        <w:t>iii</w:t>
      </w:r>
      <w:proofErr w:type="spellEnd"/>
      <w:r w:rsidRPr="00AD1439">
        <w:rPr>
          <w:rFonts w:eastAsia="Times New Roman"/>
          <w:sz w:val="24"/>
          <w:szCs w:val="24"/>
          <w:lang w:eastAsia="pt-BR"/>
        </w:rPr>
        <w:t>) se a manutenção da atualização anual do piso do magistério pode ser aplicada de forma cogente “sem a previsão de fonte orçamentária e financeira necessária à realização da despesa ou sem a previsão da correspondente transferência de recursos financeiros necessários ao seu custeio”, nos termos previstos pelo §7º do art. 167 da Constituição Federal, com a redação dada pela EC 128/2022.</w:t>
      </w:r>
    </w:p>
    <w:p w14:paraId="258FCEE5" w14:textId="77777777" w:rsidR="00D330DC" w:rsidRPr="00AD1439" w:rsidRDefault="00D330DC" w:rsidP="00D330DC">
      <w:pPr>
        <w:shd w:val="clear" w:color="auto" w:fill="FFFFFF"/>
        <w:ind w:left="708"/>
        <w:rPr>
          <w:rFonts w:eastAsia="Times New Roman"/>
          <w:sz w:val="24"/>
          <w:szCs w:val="24"/>
          <w:lang w:eastAsia="pt-BR"/>
        </w:rPr>
      </w:pPr>
      <w:r w:rsidRPr="00AD1439">
        <w:rPr>
          <w:rFonts w:eastAsia="Times New Roman"/>
          <w:sz w:val="24"/>
          <w:szCs w:val="24"/>
          <w:lang w:eastAsia="pt-BR"/>
        </w:rPr>
        <w:t>[...] sobre a interpretação das normas jurídicas e os procedimentos que Administradores Públicos devem adotar nos casos em que o pagamento do piso salarial profissional nacional a todos os profissionais do magistério público da educação básica, previsto no art. 206 e 212-A da CF/88 e na Lei Federal nº 11.738/2008, ocasione elevação nas despesas com pessoal do ente, capaz de comprometer o equilíbrio e a sustentabilidade das contas públicas, afrontando o art. 19 e seguintes da Lei de Responsabilidade Fiscal;</w:t>
      </w:r>
    </w:p>
    <w:p w14:paraId="1900FC76" w14:textId="2C8AD5B9" w:rsidR="00D330DC" w:rsidRPr="00AD1439" w:rsidRDefault="00D330DC" w:rsidP="00D330DC">
      <w:pPr>
        <w:rPr>
          <w:sz w:val="24"/>
          <w:szCs w:val="24"/>
        </w:rPr>
      </w:pPr>
      <w:r w:rsidRPr="00AD1439">
        <w:rPr>
          <w:sz w:val="24"/>
          <w:szCs w:val="24"/>
        </w:rPr>
        <w:t>O Plenário desta Corte, à unanimidade, deliberou</w:t>
      </w:r>
      <w:r w:rsidR="0020327A">
        <w:rPr>
          <w:sz w:val="24"/>
          <w:szCs w:val="24"/>
        </w:rPr>
        <w:t>,</w:t>
      </w:r>
      <w:r w:rsidRPr="00AD1439">
        <w:rPr>
          <w:sz w:val="24"/>
          <w:szCs w:val="24"/>
        </w:rPr>
        <w:t xml:space="preserve"> nos termos do voto-vista apresentado pelo conselheiro Rodrigo Coelho do Carmo – anuído pelo relator, por </w:t>
      </w:r>
      <w:r w:rsidRPr="00D330DC">
        <w:rPr>
          <w:b/>
          <w:bCs/>
          <w:sz w:val="24"/>
          <w:szCs w:val="24"/>
        </w:rPr>
        <w:t>resolver o prejulgado fixando os seguintes entendimentos</w:t>
      </w:r>
      <w:r w:rsidRPr="00AD1439">
        <w:rPr>
          <w:sz w:val="24"/>
          <w:szCs w:val="24"/>
        </w:rPr>
        <w:t>:</w:t>
      </w:r>
    </w:p>
    <w:p w14:paraId="55E20977" w14:textId="77777777" w:rsidR="00D330DC" w:rsidRPr="00AD1439" w:rsidRDefault="00D330DC" w:rsidP="00D330DC">
      <w:pPr>
        <w:pStyle w:val="PargrafodaLista"/>
        <w:rPr>
          <w:sz w:val="24"/>
          <w:szCs w:val="24"/>
        </w:rPr>
      </w:pPr>
      <w:r w:rsidRPr="00AD1439">
        <w:rPr>
          <w:sz w:val="24"/>
          <w:szCs w:val="24"/>
        </w:rPr>
        <w:t xml:space="preserve">1.1.1 O </w:t>
      </w:r>
      <w:r w:rsidRPr="00D330DC">
        <w:rPr>
          <w:b/>
          <w:bCs/>
          <w:sz w:val="24"/>
          <w:szCs w:val="24"/>
        </w:rPr>
        <w:t>critério de atualização do piso salarial naciona</w:t>
      </w:r>
      <w:r w:rsidRPr="00AD1439">
        <w:rPr>
          <w:sz w:val="24"/>
          <w:szCs w:val="24"/>
        </w:rPr>
        <w:t xml:space="preserve">l do magistério público da educação básica encontra-se previsto no parágrafo único, do art. 5º, da Lei 11.738/2008, plenamente em vigor, e é calculado aplicando-se o </w:t>
      </w:r>
      <w:r w:rsidRPr="00D330DC">
        <w:rPr>
          <w:b/>
          <w:bCs/>
          <w:sz w:val="24"/>
          <w:szCs w:val="24"/>
        </w:rPr>
        <w:t>mesmo percentual de correção atribuído ao indicador “valor anual mínimo por aluno”</w:t>
      </w:r>
      <w:r w:rsidRPr="00AD1439">
        <w:rPr>
          <w:sz w:val="24"/>
          <w:szCs w:val="24"/>
        </w:rPr>
        <w:t xml:space="preserve">, indicador este que constava na revogada Lei 11.494/2007 e persiste existindo, com o mesmo conceito e objetivo, na Lei 14.113/2020 (regulamentadora do “novo Fundeb”), precisamente em seu art. 12 , § 1º. Portanto, </w:t>
      </w:r>
      <w:r w:rsidRPr="00D330DC">
        <w:rPr>
          <w:b/>
          <w:bCs/>
          <w:sz w:val="24"/>
          <w:szCs w:val="24"/>
        </w:rPr>
        <w:t>a revogação da Lei 11.494/2007 pela Lei 14.113/2020, não representou a extinção do critério de atualização</w:t>
      </w:r>
      <w:r w:rsidRPr="00AD1439">
        <w:rPr>
          <w:sz w:val="24"/>
          <w:szCs w:val="24"/>
        </w:rPr>
        <w:t xml:space="preserve"> do piso salarial nacional dos profissionais do magistério público da educação básica eis que prossegue sendo calculada com base em indicador que continua previsto na nova Lei do Fundeb. Equivale dizer-se que </w:t>
      </w:r>
      <w:r w:rsidRPr="00D330DC">
        <w:rPr>
          <w:b/>
          <w:bCs/>
          <w:sz w:val="24"/>
          <w:szCs w:val="24"/>
        </w:rPr>
        <w:t>a atualização do piso se encontra vinculada ao “percentual de crescimento do valor anual mínimo por aluno referente aos anos iniciais do ensino fundamental urbano”</w:t>
      </w:r>
      <w:r w:rsidRPr="00AD1439">
        <w:rPr>
          <w:sz w:val="24"/>
          <w:szCs w:val="24"/>
        </w:rPr>
        <w:t xml:space="preserve">, conforme estabelecido no parágrafo único do art. 5º, da Lei 11.738/2008, e não à revogada Lei 11.494/2007. </w:t>
      </w:r>
    </w:p>
    <w:p w14:paraId="5B9208D3" w14:textId="77777777" w:rsidR="00D330DC" w:rsidRPr="00AD1439" w:rsidRDefault="00D330DC" w:rsidP="00D330DC">
      <w:pPr>
        <w:pStyle w:val="PargrafodaLista"/>
        <w:rPr>
          <w:sz w:val="24"/>
          <w:szCs w:val="24"/>
        </w:rPr>
      </w:pPr>
      <w:r w:rsidRPr="00AD1439">
        <w:rPr>
          <w:sz w:val="24"/>
          <w:szCs w:val="24"/>
        </w:rPr>
        <w:t xml:space="preserve">1.1.2 A Lei 11.738/2008, que instituiu o piso salarial nacional do magistério público da educação básica, é norma infraconstitucional anterior à promulgação da Emenda Constitucional 108/2020, introdutora do art. 212-A, inciso XII, no texto permanente da CF/88. Desse modo, tem-se que </w:t>
      </w:r>
      <w:r w:rsidRPr="00D330DC">
        <w:rPr>
          <w:b/>
          <w:bCs/>
          <w:sz w:val="24"/>
          <w:szCs w:val="24"/>
        </w:rPr>
        <w:t>a Lei 11.738/2008 foi recepcionada pela Emenda Constitucional nº 108/2020</w:t>
      </w:r>
      <w:r w:rsidRPr="00AD1439">
        <w:rPr>
          <w:sz w:val="24"/>
          <w:szCs w:val="24"/>
        </w:rPr>
        <w:t xml:space="preserve">, uma vez que o seu conteúdo não guarda nenhum conflito com o novel inciso XII do art. 212-A, da CF/88, ao contrário, já que lhe confere efetividade. </w:t>
      </w:r>
    </w:p>
    <w:p w14:paraId="0C696464" w14:textId="77777777" w:rsidR="00D330DC" w:rsidRPr="00AD1439" w:rsidRDefault="00D330DC" w:rsidP="00D330DC">
      <w:pPr>
        <w:pStyle w:val="PargrafodaLista"/>
        <w:rPr>
          <w:sz w:val="24"/>
          <w:szCs w:val="24"/>
        </w:rPr>
      </w:pPr>
      <w:r w:rsidRPr="00AD1439">
        <w:rPr>
          <w:sz w:val="24"/>
          <w:szCs w:val="24"/>
        </w:rPr>
        <w:t>1.1.3 O Supremo Tribunal Federal além de confirmar a constitucionalidade do piso salarial nacional do magistério público da educação básica, instituído pela Lei 11.738/2008 (</w:t>
      </w:r>
      <w:proofErr w:type="spellStart"/>
      <w:r w:rsidRPr="00AD1439">
        <w:rPr>
          <w:sz w:val="24"/>
          <w:szCs w:val="24"/>
        </w:rPr>
        <w:t>ADIs</w:t>
      </w:r>
      <w:proofErr w:type="spellEnd"/>
      <w:r w:rsidRPr="00AD1439">
        <w:rPr>
          <w:sz w:val="24"/>
          <w:szCs w:val="24"/>
        </w:rPr>
        <w:t xml:space="preserve"> 4167 e 4848), e de sua forma de atualização/reajuste (ADI 4848), também considera que </w:t>
      </w:r>
      <w:r w:rsidRPr="00D330DC">
        <w:rPr>
          <w:b/>
          <w:bCs/>
          <w:sz w:val="24"/>
          <w:szCs w:val="24"/>
        </w:rPr>
        <w:t>a instituição do piso e a imposição de seu pagamento, aos entes da federação, não conflita com o disposto no § 7º, do art. 167, CF/88</w:t>
      </w:r>
      <w:r w:rsidRPr="00AD1439">
        <w:rPr>
          <w:sz w:val="24"/>
          <w:szCs w:val="24"/>
        </w:rPr>
        <w:t>, introduzido pela Emenda Constitucional nº 128/2022, uma vez que reputa a Lei 11.738/2008 como “[...] compatível com os princípios orçamentários e a autonomia constitucional dos entes federados [...]”, ante a continuidade da complementação federal de recursos “[...] aos entes subnacionais que não disponham de orçamento para cumprir o piso nacional [...]”, impedindo “[...] o comprometimento significativo das finanças dos entes” (Emb. Decl. na ADI 4848).</w:t>
      </w:r>
    </w:p>
    <w:p w14:paraId="423D0CB8" w14:textId="77777777" w:rsidR="00D330DC" w:rsidRPr="00AD1439" w:rsidRDefault="00D330DC" w:rsidP="00D330DC">
      <w:pPr>
        <w:pStyle w:val="PargrafodaLista"/>
        <w:rPr>
          <w:sz w:val="24"/>
          <w:szCs w:val="24"/>
        </w:rPr>
      </w:pPr>
      <w:r w:rsidRPr="00AD1439">
        <w:rPr>
          <w:sz w:val="24"/>
          <w:szCs w:val="24"/>
        </w:rPr>
        <w:t xml:space="preserve">1.1.4 Na hipótese de a concessão do piso nacional do magistério público da educação básica ou suas atualizações anuais posteriores implicarem na </w:t>
      </w:r>
      <w:r w:rsidRPr="00D330DC">
        <w:rPr>
          <w:b/>
          <w:bCs/>
          <w:sz w:val="24"/>
          <w:szCs w:val="24"/>
        </w:rPr>
        <w:t>ultrapassagem do limite total máximo de despesas de pessoal</w:t>
      </w:r>
      <w:r w:rsidRPr="00AD1439">
        <w:rPr>
          <w:sz w:val="24"/>
          <w:szCs w:val="24"/>
        </w:rPr>
        <w:t xml:space="preserve">, estabelecido no art. 20 da LRF, deverá o Poder Executivo responsável </w:t>
      </w:r>
      <w:r w:rsidRPr="00D330DC">
        <w:rPr>
          <w:b/>
          <w:bCs/>
          <w:sz w:val="24"/>
          <w:szCs w:val="24"/>
        </w:rPr>
        <w:t>observar as disposições contidas no art. 23 da LRF</w:t>
      </w:r>
      <w:r w:rsidRPr="00AD1439">
        <w:rPr>
          <w:sz w:val="24"/>
          <w:szCs w:val="24"/>
        </w:rPr>
        <w:t xml:space="preserve">, que inclui a aplicação das vedações previstas no art. 22 da LRF e determina que o percentual excedente seja “eliminado nos dois quadrimestres seguintes, sendo pelo menos um terço no primeiro, adotando-se, entre outras, as providências previstas nos §§ 3º e 4º do art. 169 da Constituição” (“a” - redução em pelo menos vinte por cento das despesas com cargos em comissão e funções de confiança; “b” – exoneração de servidores não estáveis; “c” - caso as medidas “a” e “b” não sejam suficientes para o retorno aos limites da LRF “[...] o servidor estável poderá perder o cargo, desde que ato normativo motivado de cada um dos Poderes especifique a atividade funcional, o órgão ou unidade administrativa objeto da redução de pessoal”). </w:t>
      </w:r>
    </w:p>
    <w:p w14:paraId="3B1DD81E" w14:textId="6995B257" w:rsidR="00D330DC" w:rsidRPr="00AD1439" w:rsidRDefault="00D330DC" w:rsidP="00D330DC">
      <w:pPr>
        <w:pStyle w:val="PargrafodaLista"/>
        <w:rPr>
          <w:sz w:val="24"/>
          <w:szCs w:val="24"/>
        </w:rPr>
      </w:pPr>
      <w:r w:rsidRPr="00AD1439">
        <w:rPr>
          <w:sz w:val="24"/>
          <w:szCs w:val="24"/>
        </w:rPr>
        <w:t xml:space="preserve">1.1.5 </w:t>
      </w:r>
      <w:r w:rsidRPr="00D330DC">
        <w:rPr>
          <w:b/>
          <w:bCs/>
          <w:sz w:val="24"/>
          <w:szCs w:val="24"/>
        </w:rPr>
        <w:t>O piso salarial nacional do magistério público da educação básica refere-se ao vencimento inicial da carreira do profissional do magistério</w:t>
      </w:r>
      <w:r w:rsidRPr="00AD1439">
        <w:rPr>
          <w:sz w:val="24"/>
          <w:szCs w:val="24"/>
        </w:rPr>
        <w:t xml:space="preserve">, nos termos do §1º do art. 2º da Lei nº 11.738, de 16 de julho de 2008, </w:t>
      </w:r>
      <w:r w:rsidRPr="00D330DC">
        <w:rPr>
          <w:b/>
          <w:bCs/>
          <w:sz w:val="24"/>
          <w:szCs w:val="24"/>
        </w:rPr>
        <w:t>e não à sua remuneração total</w:t>
      </w:r>
      <w:r w:rsidRPr="00AD1439">
        <w:rPr>
          <w:sz w:val="24"/>
          <w:szCs w:val="24"/>
        </w:rPr>
        <w:t xml:space="preserve"> (salário ou vencimento acrescido de adicionais, gratificações ou vantagens);</w:t>
      </w:r>
      <w:r>
        <w:rPr>
          <w:sz w:val="24"/>
          <w:szCs w:val="24"/>
        </w:rPr>
        <w:t xml:space="preserve"> (g.n)</w:t>
      </w:r>
    </w:p>
    <w:p w14:paraId="0CCA55B1" w14:textId="03032F59" w:rsidR="00D330DC" w:rsidRPr="002B3EF2" w:rsidRDefault="00D330DC" w:rsidP="002B3EF2">
      <w:pPr>
        <w:rPr>
          <w:sz w:val="24"/>
          <w:szCs w:val="24"/>
        </w:rPr>
      </w:pPr>
      <w:hyperlink r:id="rId9" w:history="1">
        <w:r w:rsidRPr="00AD1439">
          <w:rPr>
            <w:rStyle w:val="Hyperlink"/>
            <w:sz w:val="24"/>
            <w:szCs w:val="24"/>
          </w:rPr>
          <w:t>Acórdão TC-882/2024</w:t>
        </w:r>
      </w:hyperlink>
      <w:r w:rsidRPr="00AD1439">
        <w:rPr>
          <w:sz w:val="24"/>
          <w:szCs w:val="24"/>
        </w:rPr>
        <w:t>, Processo TC-00585/2024, relator conselheiro Luiz Carlos Ciciliotti da Cunha, publicado em 19/08/2024.</w:t>
      </w:r>
    </w:p>
    <w:p w14:paraId="542B596C" w14:textId="1E783830" w:rsidR="004B1CFF" w:rsidRDefault="00732179" w:rsidP="004B1CFF">
      <w:pPr>
        <w:pStyle w:val="Ttulo1"/>
      </w:pPr>
      <w:bookmarkStart w:id="1" w:name="_Toc179303496"/>
      <w:r>
        <w:t xml:space="preserve">3. </w:t>
      </w:r>
      <w:r w:rsidR="006B7A6D">
        <w:t xml:space="preserve">PESSOAL. REVISÃO GERAL ANUAL. ÍNDICE. COMPENSAÇÃO. REAJUSTE. </w:t>
      </w:r>
      <w:r w:rsidR="00386116" w:rsidRPr="00386116">
        <w:t xml:space="preserve">Lei que conceda revisão geral anual (RGA) deve abranger todos os servidores do </w:t>
      </w:r>
      <w:r w:rsidR="00C379D6">
        <w:t>e</w:t>
      </w:r>
      <w:r w:rsidR="00386116" w:rsidRPr="00386116">
        <w:t xml:space="preserve">nte </w:t>
      </w:r>
      <w:r w:rsidR="00C379D6">
        <w:t>f</w:t>
      </w:r>
      <w:r w:rsidR="00386116" w:rsidRPr="00386116">
        <w:t>ederativo</w:t>
      </w:r>
      <w:r w:rsidR="00C379D6">
        <w:t>,</w:t>
      </w:r>
      <w:r w:rsidR="00386116" w:rsidRPr="00386116">
        <w:t xml:space="preserve"> sem distinção de categorias ou de índices, </w:t>
      </w:r>
      <w:r w:rsidR="00C379D6">
        <w:t>e ser</w:t>
      </w:r>
      <w:r w:rsidR="00386116" w:rsidRPr="00386116">
        <w:t xml:space="preserve"> realizada na mesma data-base, nos termos do art. 37, inciso X, da Constituição Federal, excepcionando-se apenas a possibilidade </w:t>
      </w:r>
      <w:r w:rsidR="00BC7059">
        <w:t>de</w:t>
      </w:r>
      <w:r w:rsidR="00386116" w:rsidRPr="00386116">
        <w:t xml:space="preserve"> desconta</w:t>
      </w:r>
      <w:r w:rsidR="00BC7059">
        <w:t>r</w:t>
      </w:r>
      <w:r w:rsidR="00386116" w:rsidRPr="00386116">
        <w:t xml:space="preserve"> reajustes já concedidos </w:t>
      </w:r>
      <w:r w:rsidR="00BC7059">
        <w:t xml:space="preserve">a </w:t>
      </w:r>
      <w:r w:rsidR="00386116" w:rsidRPr="00386116">
        <w:t>categorias</w:t>
      </w:r>
      <w:r w:rsidR="00BC7059">
        <w:t xml:space="preserve"> específicas dentro do mesmo período</w:t>
      </w:r>
      <w:r w:rsidR="00386116" w:rsidRPr="00386116">
        <w:t>, desde que essa compensação esteja expressamente prevista na referida norma.</w:t>
      </w:r>
      <w:bookmarkEnd w:id="1"/>
    </w:p>
    <w:p w14:paraId="160E8C9E" w14:textId="77777777" w:rsidR="008C39D3" w:rsidRDefault="008C39D3" w:rsidP="00A87C17">
      <w:pPr>
        <w:rPr>
          <w:sz w:val="24"/>
        </w:rPr>
      </w:pPr>
      <w:r>
        <w:rPr>
          <w:sz w:val="24"/>
        </w:rPr>
        <w:t xml:space="preserve">Trata-se de julgado oriundo da apreciação da </w:t>
      </w:r>
      <w:r w:rsidRPr="008C39D3">
        <w:rPr>
          <w:sz w:val="24"/>
        </w:rPr>
        <w:t>Prestação de Contas Anual da Câmara Municipal de Santa Teresa, referente</w:t>
      </w:r>
      <w:r>
        <w:rPr>
          <w:sz w:val="24"/>
        </w:rPr>
        <w:t>s</w:t>
      </w:r>
      <w:r w:rsidRPr="008C39D3">
        <w:rPr>
          <w:sz w:val="24"/>
        </w:rPr>
        <w:t xml:space="preserve"> ao exercício </w:t>
      </w:r>
      <w:r>
        <w:rPr>
          <w:sz w:val="24"/>
        </w:rPr>
        <w:t xml:space="preserve">de </w:t>
      </w:r>
      <w:r w:rsidRPr="008C39D3">
        <w:rPr>
          <w:sz w:val="24"/>
        </w:rPr>
        <w:t xml:space="preserve">2022. </w:t>
      </w:r>
    </w:p>
    <w:p w14:paraId="75E3A902" w14:textId="1B6465B8" w:rsidR="008C39D3" w:rsidRDefault="008C39D3" w:rsidP="00A87C17">
      <w:pPr>
        <w:rPr>
          <w:sz w:val="24"/>
        </w:rPr>
      </w:pPr>
      <w:r>
        <w:rPr>
          <w:sz w:val="24"/>
        </w:rPr>
        <w:t xml:space="preserve">Em análise das contas, o relatório técnico </w:t>
      </w:r>
      <w:r w:rsidR="00F7059D">
        <w:rPr>
          <w:sz w:val="24"/>
        </w:rPr>
        <w:t>do TCEES</w:t>
      </w:r>
      <w:r>
        <w:rPr>
          <w:sz w:val="24"/>
        </w:rPr>
        <w:t xml:space="preserve"> apontou que</w:t>
      </w:r>
      <w:r w:rsidRPr="008C39D3">
        <w:rPr>
          <w:sz w:val="24"/>
        </w:rPr>
        <w:t xml:space="preserve"> </w:t>
      </w:r>
      <w:r>
        <w:rPr>
          <w:sz w:val="24"/>
        </w:rPr>
        <w:t>o art. 1º da</w:t>
      </w:r>
      <w:r w:rsidRPr="008C39D3">
        <w:rPr>
          <w:sz w:val="24"/>
        </w:rPr>
        <w:t xml:space="preserve"> Lei Municipal nº 2.832/2022</w:t>
      </w:r>
      <w:r>
        <w:rPr>
          <w:sz w:val="24"/>
        </w:rPr>
        <w:t xml:space="preserve"> </w:t>
      </w:r>
      <w:r w:rsidRPr="008C39D3">
        <w:rPr>
          <w:sz w:val="24"/>
        </w:rPr>
        <w:t xml:space="preserve">concedeu </w:t>
      </w:r>
      <w:r w:rsidRPr="008C39D3">
        <w:rPr>
          <w:b/>
          <w:bCs/>
          <w:sz w:val="24"/>
        </w:rPr>
        <w:t>revisão geral anual (RGA)</w:t>
      </w:r>
      <w:r w:rsidRPr="008C39D3">
        <w:rPr>
          <w:sz w:val="24"/>
        </w:rPr>
        <w:t xml:space="preserve"> de 10% ao subsídio dos vereadores, a partir de abril de 2022</w:t>
      </w:r>
      <w:r>
        <w:rPr>
          <w:sz w:val="24"/>
        </w:rPr>
        <w:t xml:space="preserve">, </w:t>
      </w:r>
      <w:r w:rsidRPr="008C39D3">
        <w:rPr>
          <w:b/>
          <w:bCs/>
          <w:sz w:val="24"/>
        </w:rPr>
        <w:t>excepcion</w:t>
      </w:r>
      <w:r w:rsidR="00C55314">
        <w:rPr>
          <w:b/>
          <w:bCs/>
          <w:sz w:val="24"/>
        </w:rPr>
        <w:t>ando</w:t>
      </w:r>
      <w:r w:rsidRPr="008C39D3">
        <w:rPr>
          <w:b/>
          <w:bCs/>
          <w:sz w:val="24"/>
        </w:rPr>
        <w:t xml:space="preserve"> a categoria do magistério</w:t>
      </w:r>
      <w:r>
        <w:rPr>
          <w:sz w:val="24"/>
        </w:rPr>
        <w:t>,</w:t>
      </w:r>
      <w:r w:rsidRPr="008C39D3">
        <w:rPr>
          <w:sz w:val="24"/>
        </w:rPr>
        <w:t xml:space="preserve"> </w:t>
      </w:r>
      <w:r w:rsidR="00C55314">
        <w:rPr>
          <w:sz w:val="24"/>
        </w:rPr>
        <w:t xml:space="preserve">considerando que essa </w:t>
      </w:r>
      <w:r>
        <w:rPr>
          <w:sz w:val="24"/>
        </w:rPr>
        <w:t xml:space="preserve">já havia sido beneficiada </w:t>
      </w:r>
      <w:r w:rsidRPr="008C39D3">
        <w:rPr>
          <w:sz w:val="24"/>
        </w:rPr>
        <w:t xml:space="preserve">com reajuste de 12% pela Lei Municipal nº 2825/2021. </w:t>
      </w:r>
    </w:p>
    <w:p w14:paraId="229C07C0" w14:textId="485DCDB0" w:rsidR="008C39D3" w:rsidRDefault="008C39D3" w:rsidP="00A87C17">
      <w:pPr>
        <w:rPr>
          <w:sz w:val="24"/>
        </w:rPr>
      </w:pPr>
      <w:r>
        <w:rPr>
          <w:sz w:val="24"/>
        </w:rPr>
        <w:t xml:space="preserve">Segundo a análise técnica, </w:t>
      </w:r>
      <w:r w:rsidR="00BC7059">
        <w:rPr>
          <w:sz w:val="24"/>
        </w:rPr>
        <w:t>a referida</w:t>
      </w:r>
      <w:r w:rsidRPr="008C39D3">
        <w:rPr>
          <w:sz w:val="24"/>
        </w:rPr>
        <w:t xml:space="preserve"> </w:t>
      </w:r>
      <w:r w:rsidRPr="008C39D3">
        <w:rPr>
          <w:b/>
          <w:bCs/>
          <w:sz w:val="24"/>
        </w:rPr>
        <w:t>exceção contrariou o art. 37, inciso X, da Constituição Federal</w:t>
      </w:r>
      <w:r w:rsidRPr="008C39D3">
        <w:rPr>
          <w:sz w:val="24"/>
        </w:rPr>
        <w:t xml:space="preserve">, </w:t>
      </w:r>
      <w:r>
        <w:rPr>
          <w:sz w:val="24"/>
        </w:rPr>
        <w:t>segundo o qual a RGA</w:t>
      </w:r>
      <w:r w:rsidRPr="008C39D3">
        <w:rPr>
          <w:sz w:val="24"/>
        </w:rPr>
        <w:t xml:space="preserve"> deve ser concedida de </w:t>
      </w:r>
      <w:r>
        <w:rPr>
          <w:sz w:val="24"/>
        </w:rPr>
        <w:t>modo</w:t>
      </w:r>
      <w:r w:rsidRPr="008C39D3">
        <w:rPr>
          <w:sz w:val="24"/>
        </w:rPr>
        <w:t xml:space="preserve"> </w:t>
      </w:r>
      <w:r w:rsidRPr="008C39D3">
        <w:rPr>
          <w:b/>
          <w:bCs/>
          <w:sz w:val="24"/>
        </w:rPr>
        <w:t>uniforme a todos os servidores, sem distinções</w:t>
      </w:r>
      <w:r>
        <w:rPr>
          <w:sz w:val="24"/>
        </w:rPr>
        <w:t>.</w:t>
      </w:r>
      <w:r w:rsidR="00C55314">
        <w:rPr>
          <w:sz w:val="24"/>
        </w:rPr>
        <w:t xml:space="preserve"> Dessa forma suscitou, preliminarmente </w:t>
      </w:r>
      <w:r w:rsidR="00BC7059">
        <w:rPr>
          <w:sz w:val="24"/>
        </w:rPr>
        <w:t>à análise do mérito</w:t>
      </w:r>
      <w:r w:rsidR="00C55314">
        <w:rPr>
          <w:sz w:val="24"/>
        </w:rPr>
        <w:t xml:space="preserve">, a </w:t>
      </w:r>
      <w:r w:rsidR="00BC7059">
        <w:rPr>
          <w:sz w:val="24"/>
        </w:rPr>
        <w:t>instauração</w:t>
      </w:r>
      <w:r w:rsidR="00C55314">
        <w:rPr>
          <w:sz w:val="24"/>
        </w:rPr>
        <w:t xml:space="preserve"> de </w:t>
      </w:r>
      <w:r w:rsidR="00C55314" w:rsidRPr="00C55314">
        <w:rPr>
          <w:b/>
          <w:bCs/>
          <w:sz w:val="24"/>
        </w:rPr>
        <w:t>incidente de inconstitucionalidade</w:t>
      </w:r>
      <w:r w:rsidR="00C55314">
        <w:rPr>
          <w:sz w:val="24"/>
        </w:rPr>
        <w:t xml:space="preserve"> em face da referida norma.</w:t>
      </w:r>
    </w:p>
    <w:p w14:paraId="6AC9141A" w14:textId="1B9F5500" w:rsidR="008C39D3" w:rsidRDefault="00F7059D" w:rsidP="00A87C17">
      <w:pPr>
        <w:rPr>
          <w:sz w:val="24"/>
        </w:rPr>
      </w:pPr>
      <w:r>
        <w:rPr>
          <w:sz w:val="24"/>
        </w:rPr>
        <w:t>Em resposta à citação desta Corte, a defesa</w:t>
      </w:r>
      <w:r w:rsidRPr="00F7059D">
        <w:rPr>
          <w:sz w:val="24"/>
        </w:rPr>
        <w:t xml:space="preserve"> sustent</w:t>
      </w:r>
      <w:r>
        <w:rPr>
          <w:sz w:val="24"/>
        </w:rPr>
        <w:t>ou</w:t>
      </w:r>
      <w:r w:rsidRPr="00F7059D">
        <w:rPr>
          <w:sz w:val="24"/>
        </w:rPr>
        <w:t xml:space="preserve"> a constitucionalidade da </w:t>
      </w:r>
      <w:r>
        <w:rPr>
          <w:sz w:val="24"/>
        </w:rPr>
        <w:t>lei questionada</w:t>
      </w:r>
      <w:r w:rsidRPr="00F7059D">
        <w:rPr>
          <w:sz w:val="24"/>
        </w:rPr>
        <w:t xml:space="preserve">, sob o argumento de que </w:t>
      </w:r>
      <w:r w:rsidRPr="00C55314">
        <w:rPr>
          <w:b/>
          <w:bCs/>
          <w:sz w:val="24"/>
        </w:rPr>
        <w:t xml:space="preserve">a exclusão dos servidores do magistério da RGA não violou a Constituição, pois há possibilidade de deduções ou compensações com reajustes </w:t>
      </w:r>
      <w:r w:rsidR="00C55314">
        <w:rPr>
          <w:b/>
          <w:bCs/>
          <w:sz w:val="24"/>
        </w:rPr>
        <w:t xml:space="preserve">concedidos </w:t>
      </w:r>
      <w:r w:rsidRPr="00C55314">
        <w:rPr>
          <w:b/>
          <w:bCs/>
          <w:sz w:val="24"/>
        </w:rPr>
        <w:t>anterior</w:t>
      </w:r>
      <w:r w:rsidR="00C55314">
        <w:rPr>
          <w:b/>
          <w:bCs/>
          <w:sz w:val="24"/>
        </w:rPr>
        <w:t>mente</w:t>
      </w:r>
      <w:r w:rsidRPr="00F7059D">
        <w:rPr>
          <w:sz w:val="24"/>
        </w:rPr>
        <w:t>, mencionando jurisprudência do STF</w:t>
      </w:r>
      <w:r>
        <w:rPr>
          <w:sz w:val="24"/>
        </w:rPr>
        <w:t xml:space="preserve"> nesse sentido.</w:t>
      </w:r>
    </w:p>
    <w:p w14:paraId="635D6C42" w14:textId="50F49F13" w:rsidR="009B76A0" w:rsidRDefault="009B76A0" w:rsidP="00A87C17">
      <w:pPr>
        <w:rPr>
          <w:sz w:val="24"/>
        </w:rPr>
      </w:pPr>
      <w:r w:rsidRPr="009B76A0">
        <w:rPr>
          <w:sz w:val="24"/>
        </w:rPr>
        <w:t xml:space="preserve">No que se refere </w:t>
      </w:r>
      <w:r>
        <w:rPr>
          <w:sz w:val="24"/>
        </w:rPr>
        <w:t>à</w:t>
      </w:r>
      <w:r w:rsidRPr="009B76A0">
        <w:rPr>
          <w:sz w:val="24"/>
        </w:rPr>
        <w:t xml:space="preserve"> </w:t>
      </w:r>
      <w:r w:rsidRPr="009B76A0">
        <w:rPr>
          <w:b/>
          <w:bCs/>
          <w:sz w:val="24"/>
        </w:rPr>
        <w:t>possibilidade de compensação</w:t>
      </w:r>
      <w:r w:rsidRPr="009B76A0">
        <w:rPr>
          <w:sz w:val="24"/>
        </w:rPr>
        <w:t xml:space="preserve"> de reajuste </w:t>
      </w:r>
      <w:r w:rsidR="00BC7059">
        <w:rPr>
          <w:sz w:val="24"/>
        </w:rPr>
        <w:t>concedido previamente</w:t>
      </w:r>
      <w:r w:rsidRPr="009B76A0">
        <w:rPr>
          <w:sz w:val="24"/>
        </w:rPr>
        <w:t xml:space="preserve"> à </w:t>
      </w:r>
      <w:r w:rsidR="00BC7059">
        <w:rPr>
          <w:sz w:val="24"/>
        </w:rPr>
        <w:t>RGA</w:t>
      </w:r>
      <w:r w:rsidRPr="009B76A0">
        <w:rPr>
          <w:sz w:val="24"/>
        </w:rPr>
        <w:t xml:space="preserve"> para determinada categoria, </w:t>
      </w:r>
      <w:r>
        <w:rPr>
          <w:sz w:val="24"/>
        </w:rPr>
        <w:t xml:space="preserve">o conselheiro relator ressaltou que </w:t>
      </w:r>
      <w:r w:rsidRPr="009B76A0">
        <w:rPr>
          <w:b/>
          <w:bCs/>
          <w:sz w:val="24"/>
        </w:rPr>
        <w:t>a hipótese dos autos não se amold</w:t>
      </w:r>
      <w:r w:rsidR="00C55314">
        <w:rPr>
          <w:b/>
          <w:bCs/>
          <w:sz w:val="24"/>
        </w:rPr>
        <w:t>ou</w:t>
      </w:r>
      <w:r w:rsidRPr="009B76A0">
        <w:rPr>
          <w:b/>
          <w:bCs/>
          <w:sz w:val="24"/>
        </w:rPr>
        <w:t xml:space="preserve"> à </w:t>
      </w:r>
      <w:r>
        <w:rPr>
          <w:b/>
          <w:bCs/>
          <w:sz w:val="24"/>
        </w:rPr>
        <w:t>alegada</w:t>
      </w:r>
      <w:r w:rsidRPr="009B76A0">
        <w:rPr>
          <w:b/>
          <w:bCs/>
          <w:sz w:val="24"/>
        </w:rPr>
        <w:t xml:space="preserve"> jurisprudência</w:t>
      </w:r>
      <w:r>
        <w:rPr>
          <w:b/>
          <w:bCs/>
          <w:sz w:val="24"/>
        </w:rPr>
        <w:t xml:space="preserve"> do STF</w:t>
      </w:r>
      <w:r>
        <w:rPr>
          <w:sz w:val="24"/>
        </w:rPr>
        <w:t>.</w:t>
      </w:r>
    </w:p>
    <w:p w14:paraId="3081510B" w14:textId="58B54358" w:rsidR="009B76A0" w:rsidRDefault="009B76A0" w:rsidP="00A87C17">
      <w:pPr>
        <w:rPr>
          <w:sz w:val="24"/>
        </w:rPr>
      </w:pPr>
      <w:r>
        <w:rPr>
          <w:sz w:val="24"/>
        </w:rPr>
        <w:t>Segundo o conselheiro, o</w:t>
      </w:r>
      <w:r w:rsidRPr="009B76A0">
        <w:rPr>
          <w:sz w:val="24"/>
        </w:rPr>
        <w:t xml:space="preserve"> invocado entendimento</w:t>
      </w:r>
      <w:r>
        <w:rPr>
          <w:sz w:val="24"/>
        </w:rPr>
        <w:t>,</w:t>
      </w:r>
      <w:r w:rsidRPr="009B76A0">
        <w:rPr>
          <w:sz w:val="24"/>
        </w:rPr>
        <w:t xml:space="preserve"> conforme decisão do Ministro Luiz Fux no Recurso Extraordinário (RE) 843112/SP, </w:t>
      </w:r>
      <w:r>
        <w:rPr>
          <w:sz w:val="24"/>
        </w:rPr>
        <w:t xml:space="preserve">de fato, </w:t>
      </w:r>
      <w:r w:rsidRPr="009B76A0">
        <w:rPr>
          <w:b/>
          <w:bCs/>
          <w:sz w:val="24"/>
        </w:rPr>
        <w:t>permite que reajustes ou aumentos efetivos já concedidos</w:t>
      </w:r>
      <w:r w:rsidR="00BC7059">
        <w:rPr>
          <w:b/>
          <w:bCs/>
          <w:sz w:val="24"/>
        </w:rPr>
        <w:t xml:space="preserve"> seja </w:t>
      </w:r>
      <w:proofErr w:type="gramStart"/>
      <w:r w:rsidR="00BC7059">
        <w:rPr>
          <w:b/>
          <w:bCs/>
          <w:sz w:val="24"/>
        </w:rPr>
        <w:t>descontados</w:t>
      </w:r>
      <w:proofErr w:type="gramEnd"/>
      <w:r w:rsidR="00BC7059">
        <w:rPr>
          <w:b/>
          <w:bCs/>
          <w:sz w:val="24"/>
        </w:rPr>
        <w:t xml:space="preserve"> ao se fixar o</w:t>
      </w:r>
      <w:r w:rsidRPr="009B76A0">
        <w:rPr>
          <w:b/>
          <w:bCs/>
          <w:sz w:val="24"/>
        </w:rPr>
        <w:t xml:space="preserve"> índice de recomposição do poder aquisitivo dos servidores</w:t>
      </w:r>
      <w:r>
        <w:rPr>
          <w:sz w:val="24"/>
        </w:rPr>
        <w:t xml:space="preserve">. </w:t>
      </w:r>
    </w:p>
    <w:p w14:paraId="2771F1FD" w14:textId="75D091FA" w:rsidR="009B76A0" w:rsidRDefault="009B76A0" w:rsidP="00A87C17">
      <w:pPr>
        <w:rPr>
          <w:sz w:val="24"/>
        </w:rPr>
      </w:pPr>
      <w:r>
        <w:rPr>
          <w:sz w:val="24"/>
        </w:rPr>
        <w:t>Contudo observou que o referido precedente</w:t>
      </w:r>
      <w:r w:rsidRPr="009B76A0">
        <w:rPr>
          <w:sz w:val="24"/>
        </w:rPr>
        <w:t xml:space="preserve"> estabeleceu como critérios</w:t>
      </w:r>
      <w:r w:rsidR="00C55314">
        <w:rPr>
          <w:sz w:val="24"/>
        </w:rPr>
        <w:t xml:space="preserve"> para a compensação</w:t>
      </w:r>
      <w:r w:rsidR="00BC7059">
        <w:rPr>
          <w:sz w:val="24"/>
        </w:rPr>
        <w:t>: 1)</w:t>
      </w:r>
      <w:r w:rsidRPr="009B76A0">
        <w:rPr>
          <w:sz w:val="24"/>
        </w:rPr>
        <w:t xml:space="preserve"> a </w:t>
      </w:r>
      <w:r w:rsidRPr="00C55314">
        <w:rPr>
          <w:b/>
          <w:bCs/>
          <w:sz w:val="24"/>
        </w:rPr>
        <w:t>necessidade de previsão expressa dessa situação na norma proposta</w:t>
      </w:r>
      <w:r w:rsidR="00BC7059">
        <w:rPr>
          <w:sz w:val="24"/>
        </w:rPr>
        <w:t>; 2)</w:t>
      </w:r>
      <w:r w:rsidRPr="009B76A0">
        <w:rPr>
          <w:sz w:val="24"/>
        </w:rPr>
        <w:t xml:space="preserve"> que o </w:t>
      </w:r>
      <w:r w:rsidRPr="00C55314">
        <w:rPr>
          <w:b/>
          <w:bCs/>
          <w:sz w:val="24"/>
        </w:rPr>
        <w:t>reajuste tenha sido concedido no</w:t>
      </w:r>
      <w:r w:rsidR="00C55314" w:rsidRPr="00C55314">
        <w:rPr>
          <w:b/>
          <w:bCs/>
          <w:sz w:val="24"/>
        </w:rPr>
        <w:t xml:space="preserve"> mesmo</w:t>
      </w:r>
      <w:r w:rsidRPr="00C55314">
        <w:rPr>
          <w:b/>
          <w:bCs/>
          <w:sz w:val="24"/>
        </w:rPr>
        <w:t xml:space="preserve"> período</w:t>
      </w:r>
      <w:r w:rsidR="00C55314">
        <w:rPr>
          <w:sz w:val="24"/>
        </w:rPr>
        <w:t>. No caso em exame, pontuou que não foram observados tais condicionantes, de forma que o argumento não se aplica:</w:t>
      </w:r>
    </w:p>
    <w:p w14:paraId="61B6DD5C" w14:textId="1C3A4757" w:rsidR="00C55314" w:rsidRPr="00C55314" w:rsidRDefault="00C55314" w:rsidP="00C55314">
      <w:pPr>
        <w:ind w:left="708"/>
        <w:rPr>
          <w:sz w:val="20"/>
          <w:szCs w:val="18"/>
        </w:rPr>
      </w:pPr>
      <w:r w:rsidRPr="00C55314">
        <w:rPr>
          <w:sz w:val="20"/>
          <w:szCs w:val="18"/>
        </w:rPr>
        <w:t>“No caso em exame, o reajuste do piso dos servidores do magistério ocorreu pela Lei Municipal nº 2.825 de 10 de dezembro de 2021, em percentual de 12%, com aplicabilidade a partir de 1º de janeiro/2021, ao passo que os demais servidores oram contemplados pela Lei Municipal nº 2.832 de fevereiro de 2022, que concedeu revisão geral anual (RGA) de 10% a partir de 1º de janeiro de 2022. Ou seja, data base e percentual diferentes, quando seria outra revisão geral anual”.</w:t>
      </w:r>
    </w:p>
    <w:p w14:paraId="70ACA7E4" w14:textId="2ED3EFA8" w:rsidR="00C55314" w:rsidRDefault="00C55314" w:rsidP="00A87C17">
      <w:pPr>
        <w:rPr>
          <w:sz w:val="24"/>
        </w:rPr>
      </w:pPr>
      <w:r>
        <w:rPr>
          <w:sz w:val="24"/>
        </w:rPr>
        <w:t xml:space="preserve">Ante o exposto, </w:t>
      </w:r>
      <w:r w:rsidRPr="00C55314">
        <w:rPr>
          <w:sz w:val="24"/>
        </w:rPr>
        <w:t>acompanh</w:t>
      </w:r>
      <w:r>
        <w:rPr>
          <w:sz w:val="24"/>
        </w:rPr>
        <w:t>ando</w:t>
      </w:r>
      <w:r w:rsidRPr="00C55314">
        <w:rPr>
          <w:sz w:val="24"/>
        </w:rPr>
        <w:t xml:space="preserve"> o entendimento técnic</w:t>
      </w:r>
      <w:r>
        <w:rPr>
          <w:sz w:val="24"/>
        </w:rPr>
        <w:t>o</w:t>
      </w:r>
      <w:r w:rsidRPr="00C55314">
        <w:rPr>
          <w:sz w:val="24"/>
        </w:rPr>
        <w:t xml:space="preserve"> e </w:t>
      </w:r>
      <w:r>
        <w:rPr>
          <w:sz w:val="24"/>
        </w:rPr>
        <w:t>do MPC</w:t>
      </w:r>
      <w:r w:rsidRPr="00C55314">
        <w:rPr>
          <w:sz w:val="24"/>
        </w:rPr>
        <w:t xml:space="preserve">, </w:t>
      </w:r>
      <w:r>
        <w:rPr>
          <w:sz w:val="24"/>
        </w:rPr>
        <w:t>o relator votou, preliminarmente</w:t>
      </w:r>
      <w:r w:rsidRPr="00C55314">
        <w:rPr>
          <w:sz w:val="24"/>
        </w:rPr>
        <w:t>, em sede de incidente de inconstitucionalidade,</w:t>
      </w:r>
      <w:r w:rsidR="004B1CFF">
        <w:rPr>
          <w:sz w:val="24"/>
        </w:rPr>
        <w:t xml:space="preserve"> por</w:t>
      </w:r>
      <w:r w:rsidRPr="00C55314">
        <w:rPr>
          <w:sz w:val="24"/>
        </w:rPr>
        <w:t xml:space="preserve"> </w:t>
      </w:r>
      <w:r w:rsidRPr="00BC7059">
        <w:rPr>
          <w:b/>
          <w:bCs/>
          <w:sz w:val="24"/>
        </w:rPr>
        <w:t>negar exequibilidade à Lei Municipal n° 2.832/2022</w:t>
      </w:r>
      <w:r w:rsidR="004B1CFF">
        <w:rPr>
          <w:sz w:val="24"/>
        </w:rPr>
        <w:t xml:space="preserve">, </w:t>
      </w:r>
      <w:r w:rsidR="006B7A6D">
        <w:rPr>
          <w:sz w:val="24"/>
        </w:rPr>
        <w:t>por ofensa ao art. 37, inciso X, da CF/88, que exige</w:t>
      </w:r>
      <w:r w:rsidRPr="00C55314">
        <w:rPr>
          <w:sz w:val="24"/>
        </w:rPr>
        <w:t xml:space="preserve"> </w:t>
      </w:r>
      <w:r w:rsidRPr="006800BB">
        <w:rPr>
          <w:b/>
          <w:bCs/>
          <w:sz w:val="24"/>
        </w:rPr>
        <w:t>tratamento uniforme e simultâneo</w:t>
      </w:r>
      <w:r w:rsidRPr="00C55314">
        <w:rPr>
          <w:sz w:val="24"/>
        </w:rPr>
        <w:t xml:space="preserve"> para todos os servidores públicos em matéria de </w:t>
      </w:r>
      <w:r w:rsidR="00BC7059">
        <w:rPr>
          <w:sz w:val="24"/>
        </w:rPr>
        <w:t>RGA</w:t>
      </w:r>
      <w:r w:rsidRPr="00C55314">
        <w:rPr>
          <w:sz w:val="24"/>
        </w:rPr>
        <w:t>.</w:t>
      </w:r>
    </w:p>
    <w:p w14:paraId="4EFCE003" w14:textId="523CB78D" w:rsidR="008C39D3" w:rsidRDefault="004B1CFF" w:rsidP="00A87C17">
      <w:pPr>
        <w:rPr>
          <w:sz w:val="24"/>
        </w:rPr>
      </w:pPr>
      <w:r>
        <w:rPr>
          <w:sz w:val="24"/>
        </w:rPr>
        <w:t xml:space="preserve">O Plenário deliberou, à unanimidade, nos termos do voto do relator. </w:t>
      </w:r>
      <w:hyperlink r:id="rId10" w:history="1">
        <w:r w:rsidR="008C39D3" w:rsidRPr="008C39D3">
          <w:rPr>
            <w:rStyle w:val="Hyperlink"/>
            <w:sz w:val="24"/>
          </w:rPr>
          <w:t>Acórdão TC-747/2024</w:t>
        </w:r>
      </w:hyperlink>
      <w:r w:rsidR="008C39D3">
        <w:rPr>
          <w:sz w:val="24"/>
        </w:rPr>
        <w:t>, Processo TC-2862/2023, relator conselheiro Rodrigo Coelho do Carmo, publicado em 05/08/2024.</w:t>
      </w:r>
    </w:p>
    <w:p w14:paraId="686AE5E1" w14:textId="06100B88" w:rsidR="00A12279" w:rsidRDefault="00732179" w:rsidP="0074234E">
      <w:pPr>
        <w:pStyle w:val="Ttulo1"/>
      </w:pPr>
      <w:bookmarkStart w:id="2" w:name="_Toc179303497"/>
      <w:r>
        <w:t xml:space="preserve">4. </w:t>
      </w:r>
      <w:r w:rsidR="00A12279">
        <w:t>PESSOAL.</w:t>
      </w:r>
      <w:r w:rsidR="00365A03">
        <w:t xml:space="preserve"> </w:t>
      </w:r>
      <w:r w:rsidR="00A12279">
        <w:t>GRATIFICAÇÃO.</w:t>
      </w:r>
      <w:r w:rsidR="0075649B">
        <w:t xml:space="preserve"> </w:t>
      </w:r>
      <w:r w:rsidR="00A12279">
        <w:t xml:space="preserve">DISCRICIONARIEDADE. PRINCÍPIO DA LEGALIDADE. </w:t>
      </w:r>
      <w:r w:rsidR="008D3093" w:rsidRPr="008D3093">
        <w:t xml:space="preserve">É inconstitucional </w:t>
      </w:r>
      <w:r w:rsidR="00C62E46">
        <w:t xml:space="preserve">a </w:t>
      </w:r>
      <w:r w:rsidR="008D3093" w:rsidRPr="008D3093">
        <w:t>lei que autoriza o Chefe do Poder Executivo a</w:t>
      </w:r>
      <w:r w:rsidR="00C62E46">
        <w:t xml:space="preserve"> conceder, por meio de decreto,</w:t>
      </w:r>
      <w:r w:rsidR="008D3093" w:rsidRPr="008D3093">
        <w:t xml:space="preserve"> gratificação a servidores</w:t>
      </w:r>
      <w:r w:rsidR="008D3093">
        <w:t xml:space="preserve"> </w:t>
      </w:r>
      <w:r w:rsidR="008D3093" w:rsidRPr="008D3093">
        <w:t>sem definir critérios objetivos para sua aferição, tais como hipótese de incidência e quantum remuneratório, deixando margem para que o gestor público a estabeleça segundo sua discricionariedade</w:t>
      </w:r>
      <w:r w:rsidR="00663A11">
        <w:t>.</w:t>
      </w:r>
      <w:bookmarkEnd w:id="2"/>
    </w:p>
    <w:p w14:paraId="3466DBC2" w14:textId="4777745F" w:rsidR="00A12279" w:rsidRDefault="00A12279" w:rsidP="00A12279">
      <w:pPr>
        <w:rPr>
          <w:sz w:val="24"/>
        </w:rPr>
      </w:pPr>
      <w:r w:rsidRPr="00A12279">
        <w:rPr>
          <w:sz w:val="24"/>
        </w:rPr>
        <w:t xml:space="preserve">O </w:t>
      </w:r>
      <w:r>
        <w:rPr>
          <w:sz w:val="24"/>
        </w:rPr>
        <w:t>Plenário do TCEES</w:t>
      </w:r>
      <w:r w:rsidR="0075649B">
        <w:rPr>
          <w:sz w:val="24"/>
        </w:rPr>
        <w:t>, em análise de caso concreto submetido à Corte por meio de representação,</w:t>
      </w:r>
      <w:r w:rsidRPr="00A12279">
        <w:rPr>
          <w:sz w:val="24"/>
        </w:rPr>
        <w:t xml:space="preserve"> </w:t>
      </w:r>
      <w:r>
        <w:rPr>
          <w:sz w:val="24"/>
        </w:rPr>
        <w:t>apreciou</w:t>
      </w:r>
      <w:r w:rsidRPr="00A12279">
        <w:rPr>
          <w:sz w:val="24"/>
        </w:rPr>
        <w:t xml:space="preserve"> a constitucionalidade</w:t>
      </w:r>
      <w:r w:rsidR="0075649B">
        <w:rPr>
          <w:sz w:val="24"/>
        </w:rPr>
        <w:t xml:space="preserve"> </w:t>
      </w:r>
      <w:r w:rsidRPr="00A12279">
        <w:rPr>
          <w:sz w:val="24"/>
        </w:rPr>
        <w:t xml:space="preserve">de norma municipal que autorizava o </w:t>
      </w:r>
      <w:r w:rsidR="009F6391">
        <w:rPr>
          <w:sz w:val="24"/>
        </w:rPr>
        <w:t>prefeito municipal</w:t>
      </w:r>
      <w:r w:rsidR="0074234E">
        <w:rPr>
          <w:sz w:val="24"/>
        </w:rPr>
        <w:t xml:space="preserve"> de Ibiraçu</w:t>
      </w:r>
      <w:r w:rsidRPr="00A12279">
        <w:rPr>
          <w:sz w:val="24"/>
        </w:rPr>
        <w:t xml:space="preserve"> a conceder gratificações a servidores públicos efetivos de </w:t>
      </w:r>
      <w:r w:rsidRPr="00A12279">
        <w:rPr>
          <w:b/>
          <w:bCs/>
          <w:sz w:val="24"/>
        </w:rPr>
        <w:t>forma discricionária</w:t>
      </w:r>
      <w:r w:rsidRPr="00A12279">
        <w:rPr>
          <w:sz w:val="24"/>
        </w:rPr>
        <w:t xml:space="preserve">. </w:t>
      </w:r>
    </w:p>
    <w:p w14:paraId="6801D588" w14:textId="79BDA28F" w:rsidR="00A12279" w:rsidRPr="00A12279" w:rsidRDefault="00A12279" w:rsidP="00A12279">
      <w:pPr>
        <w:rPr>
          <w:sz w:val="24"/>
        </w:rPr>
      </w:pPr>
      <w:r w:rsidRPr="00A12279">
        <w:rPr>
          <w:sz w:val="24"/>
        </w:rPr>
        <w:t>O dispositivo em questão, art. 28</w:t>
      </w:r>
      <w:r>
        <w:rPr>
          <w:rStyle w:val="Refdenotaderodap"/>
          <w:sz w:val="24"/>
        </w:rPr>
        <w:footnoteReference w:id="1"/>
      </w:r>
      <w:r w:rsidRPr="00A12279">
        <w:rPr>
          <w:sz w:val="24"/>
        </w:rPr>
        <w:t xml:space="preserve"> da Lei Municipal nº 2.000/1997</w:t>
      </w:r>
      <w:r w:rsidR="0075649B">
        <w:rPr>
          <w:sz w:val="24"/>
        </w:rPr>
        <w:t>,</w:t>
      </w:r>
      <w:r w:rsidRPr="00A12279">
        <w:rPr>
          <w:sz w:val="24"/>
        </w:rPr>
        <w:t xml:space="preserve"> previa a possibilidade de concessão de gratificações de </w:t>
      </w:r>
      <w:r w:rsidRPr="00A12279">
        <w:rPr>
          <w:b/>
          <w:bCs/>
          <w:sz w:val="24"/>
        </w:rPr>
        <w:t>até 100%</w:t>
      </w:r>
      <w:r w:rsidRPr="00A12279">
        <w:rPr>
          <w:sz w:val="24"/>
        </w:rPr>
        <w:t xml:space="preserve"> sobre os vencimentos, sem</w:t>
      </w:r>
      <w:r w:rsidR="009F6391">
        <w:rPr>
          <w:sz w:val="24"/>
        </w:rPr>
        <w:t xml:space="preserve"> </w:t>
      </w:r>
      <w:r w:rsidRPr="00A12279">
        <w:rPr>
          <w:sz w:val="24"/>
        </w:rPr>
        <w:t xml:space="preserve">estabelecer </w:t>
      </w:r>
      <w:r>
        <w:rPr>
          <w:b/>
          <w:bCs/>
          <w:sz w:val="24"/>
        </w:rPr>
        <w:t xml:space="preserve">requisitos </w:t>
      </w:r>
      <w:r w:rsidRPr="00A12279">
        <w:rPr>
          <w:b/>
          <w:bCs/>
          <w:sz w:val="24"/>
        </w:rPr>
        <w:t>objetivos</w:t>
      </w:r>
      <w:r w:rsidRPr="00A12279">
        <w:rPr>
          <w:sz w:val="24"/>
        </w:rPr>
        <w:t xml:space="preserve"> que balizassem essa concessão</w:t>
      </w:r>
      <w:r>
        <w:rPr>
          <w:sz w:val="24"/>
        </w:rPr>
        <w:t>, ficando o quantum a critério do prefeito.</w:t>
      </w:r>
    </w:p>
    <w:p w14:paraId="04F42E1D" w14:textId="77777777" w:rsidR="009F6391" w:rsidRDefault="00A12279" w:rsidP="00A12279">
      <w:pPr>
        <w:rPr>
          <w:sz w:val="24"/>
        </w:rPr>
      </w:pPr>
      <w:r w:rsidRPr="00A12279">
        <w:rPr>
          <w:sz w:val="24"/>
        </w:rPr>
        <w:t xml:space="preserve">Na análise da matéria, foi destacado que o referido dispositivo legal permitia uma </w:t>
      </w:r>
      <w:r w:rsidRPr="00A12279">
        <w:rPr>
          <w:b/>
          <w:bCs/>
          <w:sz w:val="24"/>
        </w:rPr>
        <w:t>discricionariedade excessiva</w:t>
      </w:r>
      <w:r w:rsidRPr="00A12279">
        <w:rPr>
          <w:sz w:val="24"/>
        </w:rPr>
        <w:t xml:space="preserve"> ao Chefe do Executivo, uma vez que não fixava parâmetros claros sobre quando e como o percentual de gratificação deveria ser aplicado. </w:t>
      </w:r>
    </w:p>
    <w:p w14:paraId="2969B8B8" w14:textId="6AA90291" w:rsidR="00A12279" w:rsidRPr="00A12279" w:rsidRDefault="00A12279" w:rsidP="00A12279">
      <w:pPr>
        <w:rPr>
          <w:sz w:val="24"/>
        </w:rPr>
      </w:pPr>
      <w:r w:rsidRPr="00A12279">
        <w:rPr>
          <w:sz w:val="24"/>
        </w:rPr>
        <w:t xml:space="preserve">A norma simplesmente indicava que poderia ser concedida gratificação de até 100%, sem especificar as </w:t>
      </w:r>
      <w:r w:rsidRPr="00A12279">
        <w:rPr>
          <w:b/>
          <w:bCs/>
          <w:sz w:val="24"/>
        </w:rPr>
        <w:t>situações concretas</w:t>
      </w:r>
      <w:r w:rsidRPr="00A12279">
        <w:rPr>
          <w:sz w:val="24"/>
        </w:rPr>
        <w:t xml:space="preserve"> que justificariam a concessão de 5%, 50%, ou mesmo 100% do benefício. </w:t>
      </w:r>
      <w:r w:rsidR="009F6391">
        <w:rPr>
          <w:sz w:val="24"/>
        </w:rPr>
        <w:t>A</w:t>
      </w:r>
      <w:r w:rsidRPr="00A12279">
        <w:rPr>
          <w:sz w:val="24"/>
        </w:rPr>
        <w:t xml:space="preserve"> </w:t>
      </w:r>
      <w:r w:rsidRPr="00A12279">
        <w:rPr>
          <w:b/>
          <w:bCs/>
          <w:sz w:val="24"/>
        </w:rPr>
        <w:t>falta de objetividade</w:t>
      </w:r>
      <w:r w:rsidRPr="00A12279">
        <w:rPr>
          <w:sz w:val="24"/>
        </w:rPr>
        <w:t xml:space="preserve"> resultava em uma prática que, segundo a Corte</w:t>
      </w:r>
      <w:r w:rsidR="009F6391">
        <w:rPr>
          <w:sz w:val="24"/>
        </w:rPr>
        <w:t xml:space="preserve"> de Contas</w:t>
      </w:r>
      <w:r w:rsidRPr="00A12279">
        <w:rPr>
          <w:sz w:val="24"/>
        </w:rPr>
        <w:t xml:space="preserve">, afronta diretamente os princípios constitucionais da </w:t>
      </w:r>
      <w:r w:rsidRPr="00A12279">
        <w:rPr>
          <w:b/>
          <w:bCs/>
          <w:sz w:val="24"/>
        </w:rPr>
        <w:t>impessoalidade</w:t>
      </w:r>
      <w:r w:rsidRPr="00A12279">
        <w:rPr>
          <w:sz w:val="24"/>
        </w:rPr>
        <w:t xml:space="preserve"> e </w:t>
      </w:r>
      <w:r w:rsidRPr="00A12279">
        <w:rPr>
          <w:b/>
          <w:bCs/>
          <w:sz w:val="24"/>
        </w:rPr>
        <w:t>moralidade</w:t>
      </w:r>
      <w:r w:rsidRPr="00A12279">
        <w:rPr>
          <w:sz w:val="24"/>
        </w:rPr>
        <w:t xml:space="preserve">, essenciais na </w:t>
      </w:r>
      <w:r w:rsidR="009F6391">
        <w:rPr>
          <w:sz w:val="24"/>
        </w:rPr>
        <w:t>A</w:t>
      </w:r>
      <w:r w:rsidRPr="00A12279">
        <w:rPr>
          <w:sz w:val="24"/>
        </w:rPr>
        <w:t xml:space="preserve">dministração </w:t>
      </w:r>
      <w:r w:rsidR="009F6391">
        <w:rPr>
          <w:sz w:val="24"/>
        </w:rPr>
        <w:t>P</w:t>
      </w:r>
      <w:r w:rsidRPr="00A12279">
        <w:rPr>
          <w:sz w:val="24"/>
        </w:rPr>
        <w:t>ública.</w:t>
      </w:r>
    </w:p>
    <w:p w14:paraId="57E03D6A" w14:textId="26AE8645" w:rsidR="00A12279" w:rsidRPr="00A12279" w:rsidRDefault="00A12279" w:rsidP="00A12279">
      <w:pPr>
        <w:rPr>
          <w:sz w:val="24"/>
        </w:rPr>
      </w:pPr>
      <w:r w:rsidRPr="00A12279">
        <w:rPr>
          <w:sz w:val="24"/>
        </w:rPr>
        <w:t xml:space="preserve">O </w:t>
      </w:r>
      <w:r>
        <w:rPr>
          <w:sz w:val="24"/>
        </w:rPr>
        <w:t xml:space="preserve">conselheiro </w:t>
      </w:r>
      <w:r w:rsidRPr="00A12279">
        <w:rPr>
          <w:sz w:val="24"/>
        </w:rPr>
        <w:t xml:space="preserve">relator enfatizou que, de acordo com o artigo 37, </w:t>
      </w:r>
      <w:r>
        <w:rPr>
          <w:sz w:val="24"/>
        </w:rPr>
        <w:t xml:space="preserve">inciso </w:t>
      </w:r>
      <w:r w:rsidRPr="00A12279">
        <w:rPr>
          <w:sz w:val="24"/>
        </w:rPr>
        <w:t xml:space="preserve">X, da Constituição Federal, é indispensável a existência de </w:t>
      </w:r>
      <w:r w:rsidRPr="00A12279">
        <w:rPr>
          <w:b/>
          <w:bCs/>
          <w:sz w:val="24"/>
        </w:rPr>
        <w:t>lei específica</w:t>
      </w:r>
      <w:r w:rsidRPr="00A12279">
        <w:rPr>
          <w:sz w:val="24"/>
        </w:rPr>
        <w:t xml:space="preserve"> para a concessão de qualquer tipo de vantagem ou aumento remuneratório aos servidores. Além disso, </w:t>
      </w:r>
      <w:r w:rsidR="009F6391">
        <w:rPr>
          <w:sz w:val="24"/>
        </w:rPr>
        <w:t>ponderou que as</w:t>
      </w:r>
      <w:r w:rsidRPr="00A12279">
        <w:rPr>
          <w:sz w:val="24"/>
        </w:rPr>
        <w:t xml:space="preserve"> gratificações precisam estar respaldadas em </w:t>
      </w:r>
      <w:r w:rsidRPr="00A12279">
        <w:rPr>
          <w:b/>
          <w:bCs/>
          <w:sz w:val="24"/>
        </w:rPr>
        <w:t>parâmetros claros e previamente definidos</w:t>
      </w:r>
      <w:r w:rsidRPr="00A12279">
        <w:rPr>
          <w:sz w:val="24"/>
        </w:rPr>
        <w:t xml:space="preserve"> para garantir que a </w:t>
      </w:r>
      <w:r w:rsidR="009F6391">
        <w:rPr>
          <w:sz w:val="24"/>
        </w:rPr>
        <w:t>A</w:t>
      </w:r>
      <w:r w:rsidRPr="00A12279">
        <w:rPr>
          <w:sz w:val="24"/>
        </w:rPr>
        <w:t xml:space="preserve">dministração atue de forma </w:t>
      </w:r>
      <w:r w:rsidRPr="00A12279">
        <w:rPr>
          <w:b/>
          <w:bCs/>
          <w:sz w:val="24"/>
        </w:rPr>
        <w:t>não arbitrária</w:t>
      </w:r>
      <w:r w:rsidRPr="00A12279">
        <w:rPr>
          <w:sz w:val="24"/>
        </w:rPr>
        <w:t xml:space="preserve"> e </w:t>
      </w:r>
      <w:r w:rsidRPr="00A12279">
        <w:rPr>
          <w:b/>
          <w:bCs/>
          <w:sz w:val="24"/>
        </w:rPr>
        <w:t>igualitária</w:t>
      </w:r>
      <w:r w:rsidRPr="00A12279">
        <w:rPr>
          <w:sz w:val="24"/>
        </w:rPr>
        <w:t xml:space="preserve">, </w:t>
      </w:r>
      <w:r w:rsidRPr="00A12279">
        <w:rPr>
          <w:b/>
          <w:bCs/>
          <w:sz w:val="24"/>
        </w:rPr>
        <w:t>evitando favorecimentos indevidos ou injustificados</w:t>
      </w:r>
      <w:r w:rsidRPr="00A12279">
        <w:rPr>
          <w:sz w:val="24"/>
        </w:rPr>
        <w:t>.</w:t>
      </w:r>
    </w:p>
    <w:p w14:paraId="50A0EBCA" w14:textId="408653C3" w:rsidR="00A12279" w:rsidRPr="00A12279" w:rsidRDefault="009F6391" w:rsidP="00A12279">
      <w:pPr>
        <w:rPr>
          <w:sz w:val="24"/>
        </w:rPr>
      </w:pPr>
      <w:r>
        <w:rPr>
          <w:sz w:val="24"/>
        </w:rPr>
        <w:t>Observou, ainda, que a</w:t>
      </w:r>
      <w:r w:rsidR="00A12279" w:rsidRPr="00A12279">
        <w:rPr>
          <w:sz w:val="24"/>
        </w:rPr>
        <w:t xml:space="preserve"> ausência desses critérios</w:t>
      </w:r>
      <w:r w:rsidR="00A12279">
        <w:rPr>
          <w:sz w:val="24"/>
        </w:rPr>
        <w:t xml:space="preserve"> </w:t>
      </w:r>
      <w:r w:rsidR="00A12279" w:rsidRPr="00A12279">
        <w:rPr>
          <w:sz w:val="24"/>
        </w:rPr>
        <w:t xml:space="preserve">implica violação ao princípio da </w:t>
      </w:r>
      <w:r w:rsidR="00A12279" w:rsidRPr="00A12279">
        <w:rPr>
          <w:b/>
          <w:bCs/>
          <w:sz w:val="24"/>
        </w:rPr>
        <w:t>legalidade</w:t>
      </w:r>
      <w:r>
        <w:rPr>
          <w:sz w:val="24"/>
        </w:rPr>
        <w:t>, segundo o qual o</w:t>
      </w:r>
      <w:r w:rsidR="00A12279" w:rsidRPr="00A12279">
        <w:rPr>
          <w:sz w:val="24"/>
        </w:rPr>
        <w:t xml:space="preserve"> ato administrativo </w:t>
      </w:r>
      <w:r>
        <w:rPr>
          <w:sz w:val="24"/>
        </w:rPr>
        <w:t>deve estar</w:t>
      </w:r>
      <w:r w:rsidR="00A12279" w:rsidRPr="00A12279">
        <w:rPr>
          <w:sz w:val="24"/>
        </w:rPr>
        <w:t xml:space="preserve"> estritamente vinculado à lei, o que, no caso em análise, não ocorreu, pois o </w:t>
      </w:r>
      <w:r>
        <w:rPr>
          <w:sz w:val="24"/>
        </w:rPr>
        <w:t>gestor</w:t>
      </w:r>
      <w:r w:rsidR="00A12279" w:rsidRPr="00A12279">
        <w:rPr>
          <w:sz w:val="24"/>
        </w:rPr>
        <w:t xml:space="preserve"> dispunha de liberdade quase ilimitada para definir o percentual de gratificação sem base legal objetiva.</w:t>
      </w:r>
    </w:p>
    <w:p w14:paraId="48828DE2" w14:textId="7BC21444" w:rsidR="00A12279" w:rsidRDefault="00A12279" w:rsidP="00A12279">
      <w:pPr>
        <w:rPr>
          <w:sz w:val="24"/>
        </w:rPr>
      </w:pPr>
      <w:r w:rsidRPr="00A12279">
        <w:rPr>
          <w:sz w:val="24"/>
        </w:rPr>
        <w:t xml:space="preserve">Diante disso, </w:t>
      </w:r>
      <w:r>
        <w:rPr>
          <w:sz w:val="24"/>
        </w:rPr>
        <w:t xml:space="preserve">nos termos do voto do relator, </w:t>
      </w:r>
      <w:r w:rsidRPr="00A12279">
        <w:rPr>
          <w:sz w:val="24"/>
        </w:rPr>
        <w:t xml:space="preserve">o </w:t>
      </w:r>
      <w:r>
        <w:rPr>
          <w:sz w:val="24"/>
        </w:rPr>
        <w:t>Plenário desta Corte</w:t>
      </w:r>
      <w:r w:rsidRPr="00A12279">
        <w:rPr>
          <w:sz w:val="24"/>
        </w:rPr>
        <w:t xml:space="preserve"> decidiu p</w:t>
      </w:r>
      <w:r>
        <w:rPr>
          <w:sz w:val="24"/>
        </w:rPr>
        <w:t>or</w:t>
      </w:r>
      <w:r w:rsidRPr="00A12279">
        <w:rPr>
          <w:sz w:val="24"/>
        </w:rPr>
        <w:t xml:space="preserve"> </w:t>
      </w:r>
      <w:r>
        <w:rPr>
          <w:b/>
          <w:bCs/>
          <w:sz w:val="24"/>
        </w:rPr>
        <w:t>negar</w:t>
      </w:r>
      <w:r w:rsidRPr="00A12279">
        <w:rPr>
          <w:b/>
          <w:bCs/>
          <w:sz w:val="24"/>
        </w:rPr>
        <w:t xml:space="preserve"> aplicabilidade</w:t>
      </w:r>
      <w:r w:rsidRPr="00A12279">
        <w:rPr>
          <w:sz w:val="24"/>
        </w:rPr>
        <w:t xml:space="preserve"> ao </w:t>
      </w:r>
      <w:r>
        <w:rPr>
          <w:sz w:val="24"/>
        </w:rPr>
        <w:t>referido dispositivo legal</w:t>
      </w:r>
      <w:r w:rsidRPr="00A12279">
        <w:rPr>
          <w:sz w:val="24"/>
        </w:rPr>
        <w:t xml:space="preserve">, reconhecendo sua </w:t>
      </w:r>
      <w:r w:rsidRPr="00A12279">
        <w:rPr>
          <w:b/>
          <w:bCs/>
          <w:sz w:val="24"/>
        </w:rPr>
        <w:t>inconstitucionalidade</w:t>
      </w:r>
      <w:r w:rsidRPr="00A12279">
        <w:rPr>
          <w:sz w:val="24"/>
        </w:rPr>
        <w:t xml:space="preserve"> por afronta ao artigo 37, caput</w:t>
      </w:r>
      <w:r w:rsidR="009F6391">
        <w:rPr>
          <w:sz w:val="24"/>
        </w:rPr>
        <w:t xml:space="preserve"> e</w:t>
      </w:r>
      <w:r w:rsidRPr="00A12279">
        <w:rPr>
          <w:sz w:val="24"/>
        </w:rPr>
        <w:t xml:space="preserve"> inciso X</w:t>
      </w:r>
      <w:r w:rsidR="009F6391">
        <w:rPr>
          <w:sz w:val="24"/>
        </w:rPr>
        <w:t>,</w:t>
      </w:r>
      <w:r w:rsidRPr="00A12279">
        <w:rPr>
          <w:sz w:val="24"/>
        </w:rPr>
        <w:t xml:space="preserve"> da Constituição Federal. </w:t>
      </w:r>
    </w:p>
    <w:p w14:paraId="2027DE82" w14:textId="0A06B054" w:rsidR="0074234E" w:rsidRPr="00A12279" w:rsidRDefault="0074234E" w:rsidP="00A12279">
      <w:pPr>
        <w:rPr>
          <w:sz w:val="24"/>
        </w:rPr>
      </w:pPr>
      <w:hyperlink r:id="rId11" w:history="1">
        <w:r w:rsidRPr="006F1740">
          <w:rPr>
            <w:rStyle w:val="Hyperlink"/>
            <w:sz w:val="24"/>
          </w:rPr>
          <w:t>Acórdão TC 952/2024</w:t>
        </w:r>
      </w:hyperlink>
      <w:r>
        <w:rPr>
          <w:sz w:val="24"/>
        </w:rPr>
        <w:t xml:space="preserve">, Processo </w:t>
      </w:r>
      <w:r w:rsidR="006F1740">
        <w:rPr>
          <w:sz w:val="24"/>
        </w:rPr>
        <w:t>TC 10340/2022, relator conselheiro Davi Diniz Carvalho, publicado em 26/08/2024.</w:t>
      </w:r>
    </w:p>
    <w:p w14:paraId="6D301A27" w14:textId="714A3438" w:rsidR="0080722E" w:rsidRPr="0080722E" w:rsidRDefault="00732179" w:rsidP="00663A11">
      <w:pPr>
        <w:pStyle w:val="Ttulo1"/>
        <w:rPr>
          <w:b w:val="0"/>
          <w:szCs w:val="24"/>
        </w:rPr>
      </w:pPr>
      <w:bookmarkStart w:id="3" w:name="_Toc179303498"/>
      <w:r>
        <w:t xml:space="preserve">5. </w:t>
      </w:r>
      <w:r w:rsidR="001F26B9">
        <w:t xml:space="preserve">PROCESSUAL. CONSULTA. ADMISSIBILIDADE. </w:t>
      </w:r>
      <w:r w:rsidR="00050789">
        <w:t xml:space="preserve">PARECER. </w:t>
      </w:r>
      <w:r w:rsidR="001F26B9">
        <w:t>DISPOSITIVO LEGAL.</w:t>
      </w:r>
      <w:r w:rsidR="0080722E">
        <w:t xml:space="preserve"> COMPETÊNCIA DO TCEES.</w:t>
      </w:r>
      <w:r w:rsidR="001F26B9">
        <w:t xml:space="preserve"> </w:t>
      </w:r>
      <w:r w:rsidR="004B39C1">
        <w:t>Para que seja admitida, a c</w:t>
      </w:r>
      <w:r w:rsidR="00E10D62">
        <w:t>onsulta formulada ao TCEES</w:t>
      </w:r>
      <w:r w:rsidR="004B39C1">
        <w:t xml:space="preserve"> </w:t>
      </w:r>
      <w:r w:rsidR="00E10D62">
        <w:t>de</w:t>
      </w:r>
      <w:r w:rsidR="004B39C1">
        <w:t xml:space="preserve">ve ser instruída com parecer técnico ou jurídico que aborde diretamente os questionamentos, oferecendo </w:t>
      </w:r>
      <w:r w:rsidR="004B39C1" w:rsidRPr="00663A11">
        <w:t xml:space="preserve">respostas </w:t>
      </w:r>
      <w:r w:rsidR="00663A11" w:rsidRPr="00663A11">
        <w:t>às</w:t>
      </w:r>
      <w:r w:rsidR="004B39C1" w:rsidRPr="00663A11">
        <w:t xml:space="preserve"> indagações formuladas. </w:t>
      </w:r>
      <w:r w:rsidR="00663A11" w:rsidRPr="00663A11">
        <w:t xml:space="preserve">Além disso, </w:t>
      </w:r>
      <w:r w:rsidR="0080722E" w:rsidRPr="00663A11">
        <w:rPr>
          <w:szCs w:val="24"/>
        </w:rPr>
        <w:t>deve ter por objetivo o esclarecimento de dúvidas na aplicação de dispositivos legais e regulamentares concernentes a matéria de competência do TCEES</w:t>
      </w:r>
      <w:r w:rsidR="00663A11" w:rsidRPr="00663A11">
        <w:rPr>
          <w:szCs w:val="24"/>
        </w:rPr>
        <w:t>, não competindo</w:t>
      </w:r>
      <w:r w:rsidR="0080722E" w:rsidRPr="00663A11">
        <w:rPr>
          <w:szCs w:val="24"/>
        </w:rPr>
        <w:t xml:space="preserve"> a esta Corte, por meio de </w:t>
      </w:r>
      <w:r w:rsidR="00663A11">
        <w:rPr>
          <w:szCs w:val="24"/>
        </w:rPr>
        <w:t>consulta</w:t>
      </w:r>
      <w:r w:rsidR="0080722E" w:rsidRPr="00663A11">
        <w:rPr>
          <w:szCs w:val="24"/>
        </w:rPr>
        <w:t>, afirmar ao jurisdicionados, de maneira abstrata e genérica, qual a melhor forma de utilização de recursos ou execução de serviços públicos.</w:t>
      </w:r>
      <w:bookmarkEnd w:id="3"/>
    </w:p>
    <w:p w14:paraId="69683C35" w14:textId="2C3DE6F1" w:rsidR="0080722E" w:rsidRPr="0080722E" w:rsidRDefault="0080722E" w:rsidP="0080722E">
      <w:pPr>
        <w:rPr>
          <w:b/>
          <w:bCs/>
          <w:sz w:val="24"/>
          <w:szCs w:val="24"/>
        </w:rPr>
      </w:pPr>
      <w:r w:rsidRPr="0080722E">
        <w:rPr>
          <w:sz w:val="24"/>
          <w:szCs w:val="24"/>
        </w:rPr>
        <w:t xml:space="preserve">Trata-se de consulta formulada pelo </w:t>
      </w:r>
      <w:r w:rsidR="0044244F">
        <w:rPr>
          <w:sz w:val="24"/>
          <w:szCs w:val="24"/>
        </w:rPr>
        <w:t>p</w:t>
      </w:r>
      <w:r w:rsidRPr="0080722E">
        <w:rPr>
          <w:sz w:val="24"/>
          <w:szCs w:val="24"/>
        </w:rPr>
        <w:t xml:space="preserve">refeito </w:t>
      </w:r>
      <w:r w:rsidR="0044244F">
        <w:rPr>
          <w:sz w:val="24"/>
          <w:szCs w:val="24"/>
        </w:rPr>
        <w:t>m</w:t>
      </w:r>
      <w:r w:rsidRPr="0080722E">
        <w:rPr>
          <w:sz w:val="24"/>
          <w:szCs w:val="24"/>
        </w:rPr>
        <w:t>unicipal de São Roque do Canaã a este Tribunal de Contas, com os seguintes questionamentos:</w:t>
      </w:r>
    </w:p>
    <w:p w14:paraId="5EDAA8C6" w14:textId="77777777" w:rsidR="0080722E" w:rsidRPr="0080722E" w:rsidRDefault="0080722E" w:rsidP="009B127E">
      <w:pPr>
        <w:ind w:left="708"/>
        <w:rPr>
          <w:b/>
          <w:bCs/>
          <w:sz w:val="20"/>
          <w:szCs w:val="20"/>
        </w:rPr>
      </w:pPr>
      <w:r w:rsidRPr="0080722E">
        <w:rPr>
          <w:sz w:val="20"/>
          <w:szCs w:val="20"/>
        </w:rPr>
        <w:t xml:space="preserve">1– Pode a administração pública municipal adquirir bens provenientes de emendas pix de acordo com o regramento federal (Decreto 10.818 de 27/09/2021), cujo bem esta Municipalidade entende como de luxo? 2 – Qual a melhor forma de aplicação dos valores repassados por “emenda pix”, execução direta ou execução indireta, via Termo de Fomento com OSC regida pela Lei Federal 13.019? </w:t>
      </w:r>
    </w:p>
    <w:p w14:paraId="0589A6E0" w14:textId="5DD16C4A" w:rsidR="0080722E" w:rsidRPr="0080722E" w:rsidRDefault="0080722E" w:rsidP="0080722E">
      <w:pPr>
        <w:rPr>
          <w:sz w:val="24"/>
          <w:szCs w:val="24"/>
        </w:rPr>
      </w:pPr>
      <w:r w:rsidRPr="0080722E">
        <w:rPr>
          <w:sz w:val="24"/>
          <w:szCs w:val="24"/>
        </w:rPr>
        <w:t>No exame da admissibilidade, a área técnica desta Corte apontou</w:t>
      </w:r>
      <w:r w:rsidR="009B127E">
        <w:rPr>
          <w:sz w:val="24"/>
          <w:szCs w:val="24"/>
        </w:rPr>
        <w:t>,</w:t>
      </w:r>
      <w:r w:rsidRPr="0080722E">
        <w:rPr>
          <w:sz w:val="24"/>
          <w:szCs w:val="24"/>
        </w:rPr>
        <w:t xml:space="preserve"> inicialmente</w:t>
      </w:r>
      <w:r w:rsidR="009B127E">
        <w:rPr>
          <w:sz w:val="24"/>
          <w:szCs w:val="24"/>
        </w:rPr>
        <w:t>,</w:t>
      </w:r>
      <w:r w:rsidRPr="0080722E">
        <w:rPr>
          <w:sz w:val="24"/>
          <w:szCs w:val="24"/>
        </w:rPr>
        <w:t xml:space="preserve"> que não foi atendido o requisito previsto no art. 122, § 1º, inciso V</w:t>
      </w:r>
      <w:r w:rsidR="00030925">
        <w:rPr>
          <w:rStyle w:val="Refdenotaderodap"/>
          <w:sz w:val="24"/>
          <w:szCs w:val="24"/>
        </w:rPr>
        <w:footnoteReference w:id="2"/>
      </w:r>
      <w:r w:rsidRPr="0080722E">
        <w:rPr>
          <w:sz w:val="24"/>
          <w:szCs w:val="24"/>
        </w:rPr>
        <w:t xml:space="preserve">, da Lei Complementar Estadual 621/2012 (Lei Orgânica do TCEES), uma vez que o parecer jurídico encaminhado </w:t>
      </w:r>
      <w:r w:rsidRPr="0080722E">
        <w:rPr>
          <w:b/>
          <w:bCs/>
          <w:sz w:val="24"/>
          <w:szCs w:val="24"/>
        </w:rPr>
        <w:t>não abordou diretamente os questionamentos apresentados</w:t>
      </w:r>
      <w:r w:rsidRPr="0080722E">
        <w:rPr>
          <w:sz w:val="24"/>
          <w:szCs w:val="24"/>
        </w:rPr>
        <w:t xml:space="preserve"> na consulta, conforme entendimento jurisprudencial desta Corte, tendo sido destacado que:</w:t>
      </w:r>
    </w:p>
    <w:p w14:paraId="0CD384EB" w14:textId="77777777" w:rsidR="0080722E" w:rsidRPr="0080722E" w:rsidRDefault="0080722E" w:rsidP="00030925">
      <w:pPr>
        <w:ind w:left="708"/>
        <w:rPr>
          <w:sz w:val="20"/>
          <w:szCs w:val="20"/>
        </w:rPr>
      </w:pPr>
      <w:r w:rsidRPr="0080722E">
        <w:rPr>
          <w:sz w:val="20"/>
          <w:szCs w:val="20"/>
        </w:rPr>
        <w:t xml:space="preserve">(...) o requisito de admissibilidade, previsto no art. 122, § 1º, V, da LCE 621/2012, somente restará cumprido quando o órgão de assessoramento da autoridade consulente, por intermédio de parecer, manifestar seu </w:t>
      </w:r>
      <w:proofErr w:type="spellStart"/>
      <w:r w:rsidRPr="0080722E">
        <w:rPr>
          <w:sz w:val="20"/>
          <w:szCs w:val="20"/>
        </w:rPr>
        <w:t>opinamento</w:t>
      </w:r>
      <w:proofErr w:type="spellEnd"/>
      <w:r w:rsidRPr="0080722E">
        <w:rPr>
          <w:sz w:val="20"/>
          <w:szCs w:val="20"/>
        </w:rPr>
        <w:t xml:space="preserve"> acerca das questões que serão consultadas a este Tribunal. É necessário, portanto, que o parecer, carreado em suporte à consulta, </w:t>
      </w:r>
      <w:r w:rsidRPr="0080722E">
        <w:rPr>
          <w:b/>
          <w:bCs/>
          <w:sz w:val="20"/>
          <w:szCs w:val="20"/>
        </w:rPr>
        <w:t>examine com propriedade e ofereça respostas a todas as indagações</w:t>
      </w:r>
      <w:r w:rsidRPr="0080722E">
        <w:rPr>
          <w:sz w:val="20"/>
          <w:szCs w:val="20"/>
        </w:rPr>
        <w:t xml:space="preserve"> que se apresentam como objeto da consulta, sob pena de sua inadmissibilidade. (g.n)</w:t>
      </w:r>
    </w:p>
    <w:p w14:paraId="299EDEEC" w14:textId="0A640C51" w:rsidR="0080722E" w:rsidRPr="0080722E" w:rsidRDefault="0080722E" w:rsidP="0080722E">
      <w:pPr>
        <w:rPr>
          <w:sz w:val="24"/>
          <w:szCs w:val="24"/>
        </w:rPr>
      </w:pPr>
      <w:r w:rsidRPr="0080722E">
        <w:rPr>
          <w:sz w:val="24"/>
          <w:szCs w:val="24"/>
        </w:rPr>
        <w:t xml:space="preserve">No que diz respeito ao questionamento “2”, a instrução técnica observou que </w:t>
      </w:r>
      <w:r w:rsidRPr="0080722E">
        <w:rPr>
          <w:b/>
          <w:bCs/>
          <w:sz w:val="24"/>
          <w:szCs w:val="24"/>
        </w:rPr>
        <w:t>não se insere, dentre as competências deste Tribunal, definidas no art. 71 da Constituição Estadual, a incumbência de dizer, aos seus jurisdicionados, de maneira abstrata e genérica, qual a melhor forma de utilizarem seus recursos ou executarem os serviços públicos</w:t>
      </w:r>
      <w:r w:rsidRPr="0080722E">
        <w:rPr>
          <w:sz w:val="24"/>
          <w:szCs w:val="24"/>
        </w:rPr>
        <w:t xml:space="preserve"> prestados à população, de forma </w:t>
      </w:r>
      <w:r w:rsidR="00030925">
        <w:rPr>
          <w:sz w:val="24"/>
          <w:szCs w:val="24"/>
        </w:rPr>
        <w:t xml:space="preserve">que </w:t>
      </w:r>
      <w:r w:rsidRPr="0080722E">
        <w:rPr>
          <w:sz w:val="24"/>
          <w:szCs w:val="24"/>
        </w:rPr>
        <w:t>a dúvida não atende</w:t>
      </w:r>
      <w:r w:rsidR="00030925">
        <w:rPr>
          <w:sz w:val="24"/>
          <w:szCs w:val="24"/>
        </w:rPr>
        <w:t>u</w:t>
      </w:r>
      <w:r w:rsidRPr="0080722E">
        <w:rPr>
          <w:sz w:val="24"/>
          <w:szCs w:val="24"/>
        </w:rPr>
        <w:t xml:space="preserve"> ao disposto no caput e inciso II do § 1º do art. 122</w:t>
      </w:r>
      <w:r w:rsidR="00030925">
        <w:rPr>
          <w:rStyle w:val="Refdenotaderodap"/>
          <w:sz w:val="24"/>
          <w:szCs w:val="24"/>
        </w:rPr>
        <w:footnoteReference w:id="3"/>
      </w:r>
      <w:r w:rsidRPr="0080722E">
        <w:rPr>
          <w:sz w:val="24"/>
          <w:szCs w:val="24"/>
        </w:rPr>
        <w:t xml:space="preserve"> da Lei Orgânica do TCEES (LOTCEES).</w:t>
      </w:r>
    </w:p>
    <w:p w14:paraId="4EDADC60" w14:textId="61CF7816" w:rsidR="0080722E" w:rsidRPr="0080722E" w:rsidRDefault="0080722E" w:rsidP="0080722E">
      <w:pPr>
        <w:rPr>
          <w:sz w:val="24"/>
          <w:szCs w:val="24"/>
        </w:rPr>
      </w:pPr>
      <w:r w:rsidRPr="0080722E">
        <w:rPr>
          <w:sz w:val="24"/>
          <w:szCs w:val="24"/>
        </w:rPr>
        <w:t xml:space="preserve">Ainda em relação ao item “2”, esclareceu que o objeto da consulta </w:t>
      </w:r>
      <w:r w:rsidRPr="0080722E">
        <w:rPr>
          <w:b/>
          <w:bCs/>
          <w:sz w:val="24"/>
          <w:szCs w:val="24"/>
        </w:rPr>
        <w:t>não tratou da elucidação de dúvidas acerca de dispositivos constitucionais, legais ou regulamentares</w:t>
      </w:r>
      <w:r w:rsidRPr="0080722E">
        <w:rPr>
          <w:sz w:val="24"/>
          <w:szCs w:val="24"/>
        </w:rPr>
        <w:t>, não atendendo</w:t>
      </w:r>
      <w:r w:rsidR="00030925">
        <w:rPr>
          <w:sz w:val="24"/>
          <w:szCs w:val="24"/>
        </w:rPr>
        <w:t>, novamente,</w:t>
      </w:r>
      <w:r w:rsidRPr="0080722E">
        <w:rPr>
          <w:sz w:val="24"/>
          <w:szCs w:val="24"/>
        </w:rPr>
        <w:t xml:space="preserve"> ao requisito de admissibilidade previsto no art. 122 da LOTCEES</w:t>
      </w:r>
      <w:r w:rsidR="00030925">
        <w:rPr>
          <w:sz w:val="24"/>
          <w:szCs w:val="24"/>
        </w:rPr>
        <w:t>.</w:t>
      </w:r>
    </w:p>
    <w:p w14:paraId="3D452425" w14:textId="5A488B04" w:rsidR="0080722E" w:rsidRPr="0080722E" w:rsidRDefault="0080722E" w:rsidP="0080722E">
      <w:pPr>
        <w:rPr>
          <w:sz w:val="24"/>
          <w:szCs w:val="24"/>
        </w:rPr>
      </w:pPr>
      <w:r w:rsidRPr="0080722E">
        <w:rPr>
          <w:sz w:val="24"/>
          <w:szCs w:val="24"/>
        </w:rPr>
        <w:t xml:space="preserve">Nesse sentido, </w:t>
      </w:r>
      <w:r w:rsidR="00030925">
        <w:rPr>
          <w:sz w:val="24"/>
          <w:szCs w:val="24"/>
        </w:rPr>
        <w:t>enfatizou</w:t>
      </w:r>
      <w:r w:rsidRPr="0080722E">
        <w:rPr>
          <w:sz w:val="24"/>
          <w:szCs w:val="24"/>
        </w:rPr>
        <w:t xml:space="preserve"> que o objetivo específico da consulta deve ser o esclarecimento de dúvidas acerca da </w:t>
      </w:r>
      <w:r w:rsidRPr="0080722E">
        <w:rPr>
          <w:b/>
          <w:bCs/>
          <w:sz w:val="24"/>
          <w:szCs w:val="24"/>
        </w:rPr>
        <w:t>“aplicação de dispositivos legais e regulamentares”</w:t>
      </w:r>
      <w:r w:rsidRPr="0080722E">
        <w:rPr>
          <w:sz w:val="24"/>
          <w:szCs w:val="24"/>
        </w:rPr>
        <w:t xml:space="preserve">, concernentes a </w:t>
      </w:r>
      <w:r w:rsidRPr="0080722E">
        <w:rPr>
          <w:b/>
          <w:bCs/>
          <w:sz w:val="24"/>
          <w:szCs w:val="24"/>
        </w:rPr>
        <w:t>matéria de competência deste Tribunal</w:t>
      </w:r>
      <w:r w:rsidRPr="0080722E">
        <w:rPr>
          <w:sz w:val="24"/>
          <w:szCs w:val="24"/>
        </w:rPr>
        <w:t>, conforme previsto no art. 122 da LOTCEES</w:t>
      </w:r>
      <w:r w:rsidR="00030925">
        <w:rPr>
          <w:sz w:val="24"/>
          <w:szCs w:val="24"/>
        </w:rPr>
        <w:t xml:space="preserve">, manifestando-pela pela sua </w:t>
      </w:r>
      <w:r w:rsidR="00030925" w:rsidRPr="00030925">
        <w:rPr>
          <w:b/>
          <w:bCs/>
          <w:sz w:val="24"/>
          <w:szCs w:val="24"/>
        </w:rPr>
        <w:t>não admissibilidade</w:t>
      </w:r>
      <w:r w:rsidR="0044244F">
        <w:rPr>
          <w:sz w:val="24"/>
          <w:szCs w:val="24"/>
        </w:rPr>
        <w:t>.</w:t>
      </w:r>
    </w:p>
    <w:p w14:paraId="2CF2643A" w14:textId="2C0A02A1" w:rsidR="0080722E" w:rsidRPr="0080722E" w:rsidRDefault="0080722E" w:rsidP="0080722E">
      <w:pPr>
        <w:rPr>
          <w:sz w:val="24"/>
          <w:szCs w:val="24"/>
        </w:rPr>
      </w:pPr>
      <w:r w:rsidRPr="0080722E">
        <w:rPr>
          <w:sz w:val="24"/>
          <w:szCs w:val="24"/>
        </w:rPr>
        <w:t xml:space="preserve">O relator, corroborando na íntegra a manifestação técnica, </w:t>
      </w:r>
      <w:r w:rsidR="00030925">
        <w:rPr>
          <w:sz w:val="24"/>
          <w:szCs w:val="24"/>
        </w:rPr>
        <w:t>votou</w:t>
      </w:r>
      <w:r w:rsidRPr="0080722E">
        <w:rPr>
          <w:sz w:val="24"/>
          <w:szCs w:val="24"/>
        </w:rPr>
        <w:t xml:space="preserve"> pelo </w:t>
      </w:r>
      <w:r w:rsidRPr="0080722E">
        <w:rPr>
          <w:b/>
          <w:bCs/>
          <w:sz w:val="24"/>
          <w:szCs w:val="24"/>
        </w:rPr>
        <w:t>não conhecimento da consulta</w:t>
      </w:r>
      <w:r w:rsidRPr="0080722E">
        <w:rPr>
          <w:sz w:val="24"/>
          <w:szCs w:val="24"/>
        </w:rPr>
        <w:t xml:space="preserve"> em razão do </w:t>
      </w:r>
      <w:r w:rsidRPr="0080722E">
        <w:rPr>
          <w:b/>
          <w:bCs/>
          <w:sz w:val="24"/>
          <w:szCs w:val="24"/>
        </w:rPr>
        <w:t>não preenchimento dos requisitos de admissibilidade</w:t>
      </w:r>
      <w:r w:rsidRPr="0080722E">
        <w:rPr>
          <w:sz w:val="24"/>
          <w:szCs w:val="24"/>
        </w:rPr>
        <w:t>.</w:t>
      </w:r>
      <w:r w:rsidR="00030925">
        <w:rPr>
          <w:sz w:val="24"/>
          <w:szCs w:val="24"/>
        </w:rPr>
        <w:t xml:space="preserve"> O</w:t>
      </w:r>
      <w:r w:rsidRPr="0080722E">
        <w:rPr>
          <w:sz w:val="24"/>
          <w:szCs w:val="24"/>
        </w:rPr>
        <w:t xml:space="preserve"> Plenário decidiu, à unanimidade, </w:t>
      </w:r>
      <w:r w:rsidR="00030925">
        <w:rPr>
          <w:sz w:val="24"/>
          <w:szCs w:val="24"/>
        </w:rPr>
        <w:t>conforme o voto do relator</w:t>
      </w:r>
      <w:r w:rsidRPr="0080722E">
        <w:rPr>
          <w:sz w:val="24"/>
          <w:szCs w:val="24"/>
        </w:rPr>
        <w:t xml:space="preserve">. </w:t>
      </w:r>
      <w:hyperlink r:id="rId12">
        <w:r w:rsidRPr="0080722E">
          <w:rPr>
            <w:rStyle w:val="Hyperlink"/>
            <w:sz w:val="24"/>
            <w:szCs w:val="24"/>
          </w:rPr>
          <w:t>Decisão TC-2258/2024</w:t>
        </w:r>
      </w:hyperlink>
      <w:r w:rsidRPr="0080722E">
        <w:rPr>
          <w:sz w:val="24"/>
          <w:szCs w:val="24"/>
        </w:rPr>
        <w:t>, Processo TC-4429/2024, relator conselheiro Sebastião Carlos Ranna de Macedo, publicado em 06/08/2024.</w:t>
      </w:r>
    </w:p>
    <w:p w14:paraId="16744AB4" w14:textId="52523E03" w:rsidR="00660589" w:rsidRDefault="00732179" w:rsidP="00660589">
      <w:pPr>
        <w:pStyle w:val="Ttulo1"/>
      </w:pPr>
      <w:bookmarkStart w:id="4" w:name="_Toc179303499"/>
      <w:r>
        <w:t xml:space="preserve">6. </w:t>
      </w:r>
      <w:r w:rsidR="00660589">
        <w:t xml:space="preserve">PROCESSUAL. COMUNICAÇÃO. CITAÇÃO VÁLIDA. É válida a citação </w:t>
      </w:r>
      <w:r w:rsidR="00F71016">
        <w:t xml:space="preserve">assinada por membro da família ou empregado do responsável quando </w:t>
      </w:r>
      <w:r w:rsidR="00660589">
        <w:t xml:space="preserve">recebida </w:t>
      </w:r>
      <w:r w:rsidR="00F71016">
        <w:t>em seu endereço</w:t>
      </w:r>
      <w:r w:rsidR="00663A11">
        <w:t>.</w:t>
      </w:r>
      <w:bookmarkEnd w:id="4"/>
    </w:p>
    <w:p w14:paraId="5FE20786" w14:textId="2CA04C96" w:rsidR="00E15F13" w:rsidRDefault="00E15F13" w:rsidP="00E15F13">
      <w:pPr>
        <w:rPr>
          <w:sz w:val="24"/>
          <w:szCs w:val="24"/>
        </w:rPr>
      </w:pPr>
      <w:r w:rsidRPr="00E15F13">
        <w:rPr>
          <w:sz w:val="24"/>
          <w:szCs w:val="24"/>
        </w:rPr>
        <w:t>Trata-se de</w:t>
      </w:r>
      <w:r>
        <w:rPr>
          <w:sz w:val="24"/>
          <w:szCs w:val="24"/>
        </w:rPr>
        <w:t xml:space="preserve"> precedente originado em pedido de reexame</w:t>
      </w:r>
      <w:r w:rsidRPr="00E15F13">
        <w:rPr>
          <w:sz w:val="24"/>
          <w:szCs w:val="24"/>
        </w:rPr>
        <w:t xml:space="preserve"> interposto </w:t>
      </w:r>
      <w:r>
        <w:rPr>
          <w:sz w:val="24"/>
          <w:szCs w:val="24"/>
        </w:rPr>
        <w:t xml:space="preserve">por pessoa jurídica que fora declarada revel </w:t>
      </w:r>
      <w:r w:rsidR="000B7ED1">
        <w:rPr>
          <w:sz w:val="24"/>
          <w:szCs w:val="24"/>
        </w:rPr>
        <w:t xml:space="preserve">e condenada ao pagamento de multa </w:t>
      </w:r>
      <w:r>
        <w:rPr>
          <w:sz w:val="24"/>
          <w:szCs w:val="24"/>
        </w:rPr>
        <w:t>em representação julgada parcialmente procedente pelo</w:t>
      </w:r>
      <w:r w:rsidRPr="00E15F13">
        <w:rPr>
          <w:sz w:val="24"/>
          <w:szCs w:val="24"/>
        </w:rPr>
        <w:t xml:space="preserve"> Acórdão TC 1078/2023 </w:t>
      </w:r>
      <w:r w:rsidR="001353E8">
        <w:rPr>
          <w:sz w:val="24"/>
          <w:szCs w:val="24"/>
        </w:rPr>
        <w:t>-</w:t>
      </w:r>
      <w:r w:rsidRPr="00E15F13">
        <w:rPr>
          <w:sz w:val="24"/>
          <w:szCs w:val="24"/>
        </w:rPr>
        <w:t xml:space="preserve"> Plenário</w:t>
      </w:r>
      <w:r>
        <w:rPr>
          <w:sz w:val="24"/>
          <w:szCs w:val="24"/>
        </w:rPr>
        <w:t>.</w:t>
      </w:r>
    </w:p>
    <w:p w14:paraId="7A25C81B" w14:textId="77FDFE51" w:rsidR="000B7ED1" w:rsidRDefault="000B7ED1" w:rsidP="00E15F13">
      <w:pPr>
        <w:rPr>
          <w:sz w:val="24"/>
          <w:szCs w:val="24"/>
        </w:rPr>
      </w:pPr>
      <w:r>
        <w:rPr>
          <w:sz w:val="24"/>
          <w:szCs w:val="24"/>
        </w:rPr>
        <w:t xml:space="preserve">A recorrente alegou, preliminarmente ao mérito, a </w:t>
      </w:r>
      <w:r w:rsidRPr="000B7ED1">
        <w:rPr>
          <w:b/>
          <w:bCs/>
          <w:sz w:val="24"/>
          <w:szCs w:val="24"/>
        </w:rPr>
        <w:t xml:space="preserve">nulidade da decisão em razão de </w:t>
      </w:r>
      <w:r>
        <w:rPr>
          <w:b/>
          <w:bCs/>
          <w:sz w:val="24"/>
          <w:szCs w:val="24"/>
        </w:rPr>
        <w:t xml:space="preserve">suposta </w:t>
      </w:r>
      <w:r w:rsidRPr="000B7ED1">
        <w:rPr>
          <w:b/>
          <w:bCs/>
          <w:sz w:val="24"/>
          <w:szCs w:val="24"/>
        </w:rPr>
        <w:t>ausência de citação válida</w:t>
      </w:r>
      <w:r w:rsidRPr="000B7E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afirmando que essa fora </w:t>
      </w:r>
      <w:r w:rsidRPr="001353E8">
        <w:rPr>
          <w:b/>
          <w:bCs/>
          <w:sz w:val="24"/>
          <w:szCs w:val="24"/>
        </w:rPr>
        <w:t>recebida e assinada pelo gerente do estabelecimento comercial da empresa</w:t>
      </w:r>
      <w:r>
        <w:rPr>
          <w:sz w:val="24"/>
          <w:szCs w:val="24"/>
        </w:rPr>
        <w:t xml:space="preserve">, </w:t>
      </w:r>
      <w:r w:rsidR="00660589">
        <w:rPr>
          <w:sz w:val="24"/>
          <w:szCs w:val="24"/>
        </w:rPr>
        <w:t>o qual</w:t>
      </w:r>
      <w:r>
        <w:rPr>
          <w:sz w:val="24"/>
          <w:szCs w:val="24"/>
        </w:rPr>
        <w:t xml:space="preserve"> não detinha poderes </w:t>
      </w:r>
      <w:r w:rsidRPr="000B7ED1">
        <w:rPr>
          <w:sz w:val="24"/>
          <w:szCs w:val="24"/>
        </w:rPr>
        <w:t xml:space="preserve">para </w:t>
      </w:r>
      <w:r>
        <w:rPr>
          <w:sz w:val="24"/>
          <w:szCs w:val="24"/>
        </w:rPr>
        <w:t>representá-la. Nesse sentido juntou jurisprudência do Tribunal de Justiça do Espírito Santo</w:t>
      </w:r>
      <w:r w:rsidR="001353E8">
        <w:rPr>
          <w:sz w:val="24"/>
          <w:szCs w:val="24"/>
        </w:rPr>
        <w:t xml:space="preserve"> (TJES)</w:t>
      </w:r>
      <w:r>
        <w:rPr>
          <w:sz w:val="24"/>
          <w:szCs w:val="24"/>
        </w:rPr>
        <w:t xml:space="preserve"> para embasar suas razões recursais.</w:t>
      </w:r>
    </w:p>
    <w:p w14:paraId="65D91433" w14:textId="7A3924D3" w:rsidR="00660589" w:rsidRDefault="000B7ED1" w:rsidP="00E15F13">
      <w:pPr>
        <w:rPr>
          <w:sz w:val="24"/>
          <w:szCs w:val="24"/>
        </w:rPr>
      </w:pPr>
      <w:r>
        <w:rPr>
          <w:sz w:val="24"/>
          <w:szCs w:val="24"/>
        </w:rPr>
        <w:t xml:space="preserve">Em seu voto, o relator contestou tal entendimento, </w:t>
      </w:r>
      <w:r w:rsidR="00F71016">
        <w:rPr>
          <w:sz w:val="24"/>
          <w:szCs w:val="24"/>
        </w:rPr>
        <w:t xml:space="preserve">mencionado como precedente o </w:t>
      </w:r>
      <w:r w:rsidR="00F71016" w:rsidRPr="00660589">
        <w:rPr>
          <w:sz w:val="24"/>
          <w:szCs w:val="24"/>
        </w:rPr>
        <w:t xml:space="preserve">Acórdão TC 1154/2017 </w:t>
      </w:r>
      <w:r w:rsidR="00F71016">
        <w:rPr>
          <w:sz w:val="24"/>
          <w:szCs w:val="24"/>
        </w:rPr>
        <w:t>da</w:t>
      </w:r>
      <w:r w:rsidR="00F71016" w:rsidRPr="00660589">
        <w:rPr>
          <w:sz w:val="24"/>
          <w:szCs w:val="24"/>
        </w:rPr>
        <w:t xml:space="preserve"> Primeira Câmara</w:t>
      </w:r>
      <w:r w:rsidR="00F71016">
        <w:rPr>
          <w:sz w:val="24"/>
          <w:szCs w:val="24"/>
        </w:rPr>
        <w:t xml:space="preserve"> desta Corte, a qual esclarece que</w:t>
      </w:r>
      <w:r>
        <w:rPr>
          <w:sz w:val="24"/>
          <w:szCs w:val="24"/>
        </w:rPr>
        <w:t xml:space="preserve"> </w:t>
      </w:r>
      <w:r w:rsidRPr="000B7ED1">
        <w:rPr>
          <w:b/>
          <w:bCs/>
          <w:sz w:val="24"/>
          <w:szCs w:val="24"/>
        </w:rPr>
        <w:t>o art. 64</w:t>
      </w:r>
      <w:r w:rsidR="004E7708">
        <w:rPr>
          <w:rStyle w:val="Refdenotaderodap"/>
          <w:b/>
          <w:bCs/>
          <w:sz w:val="24"/>
          <w:szCs w:val="24"/>
        </w:rPr>
        <w:footnoteReference w:id="4"/>
      </w:r>
      <w:r w:rsidRPr="000B7ED1">
        <w:rPr>
          <w:b/>
          <w:bCs/>
          <w:sz w:val="24"/>
          <w:szCs w:val="24"/>
        </w:rPr>
        <w:t xml:space="preserve"> da Lei Complementar Estadual nº 621/2012 (Lei Orgânica do TCEES) elencou expressamente as formas válidas de </w:t>
      </w:r>
      <w:r w:rsidRPr="00660589">
        <w:rPr>
          <w:b/>
          <w:bCs/>
          <w:sz w:val="24"/>
          <w:szCs w:val="24"/>
        </w:rPr>
        <w:t>citação</w:t>
      </w:r>
      <w:r w:rsidR="00660589" w:rsidRPr="00660589">
        <w:rPr>
          <w:sz w:val="24"/>
          <w:szCs w:val="24"/>
        </w:rPr>
        <w:t xml:space="preserve">, explicitando ser </w:t>
      </w:r>
      <w:r w:rsidR="00660589" w:rsidRPr="00660589">
        <w:rPr>
          <w:b/>
          <w:bCs/>
          <w:sz w:val="24"/>
          <w:szCs w:val="24"/>
        </w:rPr>
        <w:t xml:space="preserve">necessária sua entrega no endereço do citando, </w:t>
      </w:r>
      <w:r w:rsidR="001353E8">
        <w:rPr>
          <w:b/>
          <w:bCs/>
          <w:sz w:val="24"/>
          <w:szCs w:val="24"/>
        </w:rPr>
        <w:t>prevendo que o</w:t>
      </w:r>
      <w:r w:rsidR="00660589" w:rsidRPr="00660589">
        <w:rPr>
          <w:b/>
          <w:bCs/>
          <w:sz w:val="24"/>
          <w:szCs w:val="24"/>
        </w:rPr>
        <w:t xml:space="preserve"> aviso de recebimento</w:t>
      </w:r>
      <w:r w:rsidR="001353E8">
        <w:rPr>
          <w:b/>
          <w:bCs/>
          <w:sz w:val="24"/>
          <w:szCs w:val="24"/>
        </w:rPr>
        <w:t xml:space="preserve"> possa</w:t>
      </w:r>
      <w:r w:rsidR="00660589" w:rsidRPr="00660589">
        <w:rPr>
          <w:b/>
          <w:bCs/>
          <w:sz w:val="24"/>
          <w:szCs w:val="24"/>
        </w:rPr>
        <w:t xml:space="preserve"> assinado por membro da família ou empregado do responsável</w:t>
      </w:r>
      <w:r w:rsidR="004E7708">
        <w:rPr>
          <w:sz w:val="24"/>
          <w:szCs w:val="24"/>
        </w:rPr>
        <w:t>.</w:t>
      </w:r>
    </w:p>
    <w:p w14:paraId="75D8B441" w14:textId="210CE7E5" w:rsidR="000B7ED1" w:rsidRDefault="00F71016" w:rsidP="00E15F13">
      <w:pPr>
        <w:rPr>
          <w:sz w:val="24"/>
          <w:szCs w:val="24"/>
        </w:rPr>
      </w:pPr>
      <w:r>
        <w:rPr>
          <w:sz w:val="24"/>
          <w:szCs w:val="24"/>
        </w:rPr>
        <w:t>Assim, o relator a</w:t>
      </w:r>
      <w:r w:rsidR="00660589">
        <w:rPr>
          <w:sz w:val="24"/>
          <w:szCs w:val="24"/>
        </w:rPr>
        <w:t>sseverou que se trata de</w:t>
      </w:r>
      <w:r w:rsidR="000B7ED1" w:rsidRPr="000B7ED1">
        <w:rPr>
          <w:sz w:val="24"/>
          <w:szCs w:val="24"/>
        </w:rPr>
        <w:t xml:space="preserve"> regra expressa e válida, </w:t>
      </w:r>
      <w:r w:rsidR="000B7ED1">
        <w:rPr>
          <w:sz w:val="24"/>
          <w:szCs w:val="24"/>
        </w:rPr>
        <w:t>sobre a qual não há que se</w:t>
      </w:r>
      <w:r w:rsidR="000B7ED1" w:rsidRPr="000B7ED1">
        <w:rPr>
          <w:sz w:val="24"/>
          <w:szCs w:val="24"/>
        </w:rPr>
        <w:t xml:space="preserve"> cogitar da aplicação de qualquer outra legislação, nem mesmo </w:t>
      </w:r>
      <w:r w:rsidR="00660589">
        <w:rPr>
          <w:sz w:val="24"/>
          <w:szCs w:val="24"/>
        </w:rPr>
        <w:t>d</w:t>
      </w:r>
      <w:r w:rsidR="000B7ED1" w:rsidRPr="000B7ED1">
        <w:rPr>
          <w:sz w:val="24"/>
          <w:szCs w:val="24"/>
        </w:rPr>
        <w:t xml:space="preserve">o Código de Processo Civil ou </w:t>
      </w:r>
      <w:r w:rsidR="000B7ED1">
        <w:rPr>
          <w:sz w:val="24"/>
          <w:szCs w:val="24"/>
        </w:rPr>
        <w:t>j</w:t>
      </w:r>
      <w:r w:rsidR="000B7ED1" w:rsidRPr="000B7ED1">
        <w:rPr>
          <w:sz w:val="24"/>
          <w:szCs w:val="24"/>
        </w:rPr>
        <w:t>urisprudência do</w:t>
      </w:r>
      <w:r w:rsidR="000B7ED1">
        <w:rPr>
          <w:sz w:val="24"/>
          <w:szCs w:val="24"/>
        </w:rPr>
        <w:t xml:space="preserve"> Poder</w:t>
      </w:r>
      <w:r w:rsidR="000B7ED1" w:rsidRPr="000B7ED1">
        <w:rPr>
          <w:sz w:val="24"/>
          <w:szCs w:val="24"/>
        </w:rPr>
        <w:t xml:space="preserve"> Judiciário</w:t>
      </w:r>
      <w:r w:rsidR="000B7ED1">
        <w:rPr>
          <w:sz w:val="24"/>
          <w:szCs w:val="24"/>
        </w:rPr>
        <w:t>.</w:t>
      </w:r>
    </w:p>
    <w:p w14:paraId="151AE4C3" w14:textId="77777777" w:rsidR="006A6B29" w:rsidRDefault="00F71016" w:rsidP="00E15F13">
      <w:pPr>
        <w:rPr>
          <w:sz w:val="24"/>
          <w:szCs w:val="24"/>
        </w:rPr>
      </w:pPr>
      <w:r>
        <w:rPr>
          <w:sz w:val="24"/>
          <w:szCs w:val="24"/>
        </w:rPr>
        <w:t xml:space="preserve">Diante disso, votou pelo </w:t>
      </w:r>
      <w:r w:rsidRPr="001353E8">
        <w:rPr>
          <w:b/>
          <w:bCs/>
          <w:sz w:val="24"/>
          <w:szCs w:val="24"/>
        </w:rPr>
        <w:t>não acolhimento da preliminar</w:t>
      </w:r>
      <w:r>
        <w:rPr>
          <w:sz w:val="24"/>
          <w:szCs w:val="24"/>
        </w:rPr>
        <w:t xml:space="preserve"> suscitada, sendo acompanhado pelo Plenário do TCEES à unanimidade. </w:t>
      </w:r>
    </w:p>
    <w:p w14:paraId="37B67792" w14:textId="40B905A8" w:rsidR="00E15F13" w:rsidRDefault="00E15F13" w:rsidP="00E15F13">
      <w:pPr>
        <w:rPr>
          <w:sz w:val="24"/>
          <w:szCs w:val="24"/>
        </w:rPr>
      </w:pPr>
      <w:hyperlink r:id="rId13" w:history="1">
        <w:r w:rsidRPr="00E15F13">
          <w:rPr>
            <w:rStyle w:val="Hyperlink"/>
            <w:sz w:val="24"/>
            <w:szCs w:val="24"/>
          </w:rPr>
          <w:t>Acórdão TC-790/2024</w:t>
        </w:r>
      </w:hyperlink>
      <w:r w:rsidRPr="00E15F13">
        <w:rPr>
          <w:sz w:val="24"/>
          <w:szCs w:val="24"/>
        </w:rPr>
        <w:t>, Processo TC-0003/2024, relator conselheiro Sérgio Aboudib, publicado em 12/08/2024.</w:t>
      </w:r>
    </w:p>
    <w:p w14:paraId="3B41A123" w14:textId="65D44C61" w:rsidR="00F4111B" w:rsidRDefault="00732179" w:rsidP="00A70211">
      <w:pPr>
        <w:pStyle w:val="Ttulo1"/>
      </w:pPr>
      <w:bookmarkStart w:id="5" w:name="_Toc179303500"/>
      <w:r>
        <w:t xml:space="preserve">7. </w:t>
      </w:r>
      <w:r w:rsidR="00F4111B">
        <w:t xml:space="preserve">PROCESSUAL. INCIDENTE DE INCONSTITUCIONALIDADE. DELIBERAÇÃO. PRECEDENTE. </w:t>
      </w:r>
      <w:r w:rsidR="00F4111B" w:rsidRPr="00F4111B">
        <w:t xml:space="preserve">Embora os efeitos da deliberação </w:t>
      </w:r>
      <w:r w:rsidR="00C62E46">
        <w:t>em incidente de inconstitucionalidade</w:t>
      </w:r>
      <w:r w:rsidR="00F4111B" w:rsidRPr="00F4111B">
        <w:t xml:space="preserve"> não se estendam </w:t>
      </w:r>
      <w:r w:rsidR="006A6B29">
        <w:t xml:space="preserve">para </w:t>
      </w:r>
      <w:r w:rsidR="00F4111B" w:rsidRPr="00F4111B">
        <w:t xml:space="preserve">além do </w:t>
      </w:r>
      <w:r w:rsidR="00C62E46">
        <w:t>caso concreto examinado</w:t>
      </w:r>
      <w:r w:rsidR="00F4111B" w:rsidRPr="00F4111B">
        <w:t xml:space="preserve">, </w:t>
      </w:r>
      <w:r w:rsidR="00750B63">
        <w:t>tal deliberação deve</w:t>
      </w:r>
      <w:r w:rsidR="00F4111B" w:rsidRPr="00F4111B">
        <w:t xml:space="preserve"> ser considerad</w:t>
      </w:r>
      <w:r w:rsidR="00750B63">
        <w:t>a</w:t>
      </w:r>
      <w:r w:rsidR="00F4111B" w:rsidRPr="00F4111B">
        <w:t xml:space="preserve"> em decisões que envolvam matérias semelhantes, considerando a obrigação dos </w:t>
      </w:r>
      <w:r w:rsidR="002043CB">
        <w:t>T</w:t>
      </w:r>
      <w:r w:rsidR="00F4111B" w:rsidRPr="00F4111B">
        <w:t xml:space="preserve">ribunais </w:t>
      </w:r>
      <w:r w:rsidR="00A70211">
        <w:t>em</w:t>
      </w:r>
      <w:r w:rsidR="00F4111B" w:rsidRPr="00F4111B">
        <w:t xml:space="preserve"> observar a orientação do Plenário ou </w:t>
      </w:r>
      <w:r w:rsidR="00A70211" w:rsidRPr="00F4111B">
        <w:t>órgão</w:t>
      </w:r>
      <w:r w:rsidR="00F4111B" w:rsidRPr="00F4111B">
        <w:t xml:space="preserve"> especial aos quais </w:t>
      </w:r>
      <w:r w:rsidR="00750B63">
        <w:t>estão</w:t>
      </w:r>
      <w:r w:rsidR="00F4111B" w:rsidRPr="00F4111B">
        <w:t xml:space="preserve"> vinculados, nos termos do art. 70 da LOTCEES c/c o art. 927 do </w:t>
      </w:r>
      <w:r w:rsidR="00750B63" w:rsidRPr="00F4111B">
        <w:t>C</w:t>
      </w:r>
      <w:r w:rsidR="00750B63">
        <w:t>ódigo</w:t>
      </w:r>
      <w:r w:rsidR="00A70211">
        <w:t xml:space="preserve"> de Processo </w:t>
      </w:r>
      <w:r w:rsidR="00750B63">
        <w:t>Civil.</w:t>
      </w:r>
      <w:bookmarkEnd w:id="5"/>
    </w:p>
    <w:p w14:paraId="6EDCC356" w14:textId="7D710E73" w:rsidR="00F4111B" w:rsidRDefault="00F4111B" w:rsidP="00E15F13">
      <w:pPr>
        <w:rPr>
          <w:sz w:val="24"/>
          <w:szCs w:val="24"/>
        </w:rPr>
      </w:pPr>
      <w:r w:rsidRPr="00F4111B">
        <w:rPr>
          <w:sz w:val="24"/>
          <w:szCs w:val="24"/>
        </w:rPr>
        <w:t>Trata</w:t>
      </w:r>
      <w:r w:rsidR="00A81577">
        <w:rPr>
          <w:sz w:val="24"/>
          <w:szCs w:val="24"/>
        </w:rPr>
        <w:t>-se de jul</w:t>
      </w:r>
      <w:r w:rsidR="006E1899">
        <w:rPr>
          <w:sz w:val="24"/>
          <w:szCs w:val="24"/>
        </w:rPr>
        <w:t>gado decorrente de r</w:t>
      </w:r>
      <w:r w:rsidRPr="00F4111B">
        <w:rPr>
          <w:sz w:val="24"/>
          <w:szCs w:val="24"/>
        </w:rPr>
        <w:t xml:space="preserve">ecurso de </w:t>
      </w:r>
      <w:r w:rsidR="006E1899">
        <w:rPr>
          <w:sz w:val="24"/>
          <w:szCs w:val="24"/>
        </w:rPr>
        <w:t>r</w:t>
      </w:r>
      <w:r w:rsidRPr="00F4111B">
        <w:rPr>
          <w:sz w:val="24"/>
          <w:szCs w:val="24"/>
        </w:rPr>
        <w:t xml:space="preserve">econsideração interposto em face do Acórdão 630/2023 – 1ª Câmara desta Corte de Contas, que julgou irregulares as contas </w:t>
      </w:r>
      <w:r>
        <w:rPr>
          <w:sz w:val="24"/>
          <w:szCs w:val="24"/>
        </w:rPr>
        <w:t>então presidente</w:t>
      </w:r>
      <w:r w:rsidRPr="00F4111B">
        <w:rPr>
          <w:sz w:val="24"/>
          <w:szCs w:val="24"/>
        </w:rPr>
        <w:t xml:space="preserve"> da Câmara Municipal do de São Roque do Canaã,</w:t>
      </w:r>
      <w:r>
        <w:rPr>
          <w:sz w:val="24"/>
          <w:szCs w:val="24"/>
        </w:rPr>
        <w:t xml:space="preserve"> referentes ao</w:t>
      </w:r>
      <w:r w:rsidRPr="00F4111B">
        <w:rPr>
          <w:sz w:val="24"/>
          <w:szCs w:val="24"/>
        </w:rPr>
        <w:t xml:space="preserve"> exercício de 2020, em razão </w:t>
      </w:r>
      <w:r w:rsidR="006E1899">
        <w:rPr>
          <w:sz w:val="24"/>
          <w:szCs w:val="24"/>
        </w:rPr>
        <w:t xml:space="preserve">de revisão remuneratória concedida </w:t>
      </w:r>
      <w:r w:rsidRPr="00F4111B">
        <w:rPr>
          <w:sz w:val="24"/>
          <w:szCs w:val="24"/>
        </w:rPr>
        <w:t xml:space="preserve">a vereadores em desacordo com </w:t>
      </w:r>
      <w:r w:rsidR="006E1899">
        <w:rPr>
          <w:sz w:val="24"/>
          <w:szCs w:val="24"/>
        </w:rPr>
        <w:t>a Constituição Federal, tendo sido objeto de incidente de inconstitucionalidade.</w:t>
      </w:r>
      <w:r w:rsidRPr="00F4111B">
        <w:rPr>
          <w:sz w:val="24"/>
          <w:szCs w:val="24"/>
        </w:rPr>
        <w:t xml:space="preserve"> </w:t>
      </w:r>
    </w:p>
    <w:p w14:paraId="126D16B6" w14:textId="6D2C3E23" w:rsidR="00F4111B" w:rsidRDefault="00F4111B" w:rsidP="00E15F13">
      <w:pPr>
        <w:rPr>
          <w:sz w:val="24"/>
          <w:szCs w:val="24"/>
        </w:rPr>
      </w:pPr>
      <w:r w:rsidRPr="00F4111B">
        <w:rPr>
          <w:sz w:val="24"/>
          <w:szCs w:val="24"/>
        </w:rPr>
        <w:t>Os recorrentes alega</w:t>
      </w:r>
      <w:r w:rsidR="006E1899">
        <w:rPr>
          <w:sz w:val="24"/>
          <w:szCs w:val="24"/>
        </w:rPr>
        <w:t>ra</w:t>
      </w:r>
      <w:r w:rsidRPr="00F4111B">
        <w:rPr>
          <w:sz w:val="24"/>
          <w:szCs w:val="24"/>
        </w:rPr>
        <w:t xml:space="preserve">m que a fundamentação </w:t>
      </w:r>
      <w:r w:rsidR="006E1899">
        <w:rPr>
          <w:sz w:val="24"/>
          <w:szCs w:val="24"/>
        </w:rPr>
        <w:t>da decisão recorrida</w:t>
      </w:r>
      <w:r w:rsidRPr="00F4111B">
        <w:rPr>
          <w:sz w:val="24"/>
          <w:szCs w:val="24"/>
        </w:rPr>
        <w:t xml:space="preserve"> mencion</w:t>
      </w:r>
      <w:r w:rsidR="006E1899">
        <w:rPr>
          <w:sz w:val="24"/>
          <w:szCs w:val="24"/>
        </w:rPr>
        <w:t>ou</w:t>
      </w:r>
      <w:r w:rsidRPr="00F4111B">
        <w:rPr>
          <w:sz w:val="24"/>
          <w:szCs w:val="24"/>
        </w:rPr>
        <w:t xml:space="preserve"> o Acórdão </w:t>
      </w:r>
      <w:r w:rsidR="006E1899">
        <w:rPr>
          <w:sz w:val="24"/>
          <w:szCs w:val="24"/>
        </w:rPr>
        <w:t>TC 0</w:t>
      </w:r>
      <w:r w:rsidRPr="00F4111B">
        <w:rPr>
          <w:sz w:val="24"/>
          <w:szCs w:val="24"/>
        </w:rPr>
        <w:t>15/2023</w:t>
      </w:r>
      <w:r w:rsidR="006E1899">
        <w:rPr>
          <w:sz w:val="24"/>
          <w:szCs w:val="24"/>
        </w:rPr>
        <w:t>-</w:t>
      </w:r>
      <w:r w:rsidRPr="00F4111B">
        <w:rPr>
          <w:sz w:val="24"/>
          <w:szCs w:val="24"/>
        </w:rPr>
        <w:t xml:space="preserve">Plenário, que negou exequibilidade à Lei Municipal 2.339/2020 do </w:t>
      </w:r>
      <w:r w:rsidR="002043CB">
        <w:rPr>
          <w:sz w:val="24"/>
          <w:szCs w:val="24"/>
        </w:rPr>
        <w:t>m</w:t>
      </w:r>
      <w:r w:rsidRPr="00F4111B">
        <w:rPr>
          <w:sz w:val="24"/>
          <w:szCs w:val="24"/>
        </w:rPr>
        <w:t>unicípio de Afonso Cláudio</w:t>
      </w:r>
      <w:r w:rsidR="006E1899">
        <w:rPr>
          <w:sz w:val="24"/>
          <w:szCs w:val="24"/>
        </w:rPr>
        <w:t xml:space="preserve">, sustentando que a referida </w:t>
      </w:r>
      <w:r w:rsidR="00635545">
        <w:rPr>
          <w:sz w:val="24"/>
          <w:szCs w:val="24"/>
        </w:rPr>
        <w:t>deli</w:t>
      </w:r>
      <w:r w:rsidR="006E1899">
        <w:rPr>
          <w:sz w:val="24"/>
          <w:szCs w:val="24"/>
        </w:rPr>
        <w:t xml:space="preserve">beração </w:t>
      </w:r>
      <w:r w:rsidRPr="00F4111B">
        <w:rPr>
          <w:sz w:val="24"/>
          <w:szCs w:val="24"/>
        </w:rPr>
        <w:t xml:space="preserve">"não consiste em paradigma a ser aplicado de forma indistinta, uma vez que produziu efeitos apenas no referido caso", conforme indicado </w:t>
      </w:r>
      <w:r w:rsidR="006E1899">
        <w:rPr>
          <w:sz w:val="24"/>
          <w:szCs w:val="24"/>
        </w:rPr>
        <w:t>nela própria.</w:t>
      </w:r>
    </w:p>
    <w:p w14:paraId="0DE6D6EE" w14:textId="617B4622" w:rsidR="006E1899" w:rsidRDefault="006E1899" w:rsidP="00E15F13">
      <w:pPr>
        <w:rPr>
          <w:sz w:val="24"/>
          <w:szCs w:val="24"/>
        </w:rPr>
      </w:pPr>
      <w:r>
        <w:rPr>
          <w:sz w:val="24"/>
          <w:szCs w:val="24"/>
        </w:rPr>
        <w:t>Contrapondo</w:t>
      </w:r>
      <w:r w:rsidR="002043CB">
        <w:rPr>
          <w:sz w:val="24"/>
          <w:szCs w:val="24"/>
        </w:rPr>
        <w:t>-se</w:t>
      </w:r>
      <w:r>
        <w:rPr>
          <w:sz w:val="24"/>
          <w:szCs w:val="24"/>
        </w:rPr>
        <w:t xml:space="preserve"> às razões recursais,</w:t>
      </w:r>
      <w:r w:rsidR="00F4111B" w:rsidRPr="00F4111B">
        <w:rPr>
          <w:sz w:val="24"/>
          <w:szCs w:val="24"/>
        </w:rPr>
        <w:t xml:space="preserve"> o Núcleo de Controle Externo de Recursos e Consultas</w:t>
      </w:r>
      <w:r w:rsidR="00F4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desta Corte </w:t>
      </w:r>
      <w:r w:rsidR="00F4111B" w:rsidRPr="00F4111B">
        <w:rPr>
          <w:sz w:val="24"/>
          <w:szCs w:val="24"/>
        </w:rPr>
        <w:t xml:space="preserve">argumentou que </w:t>
      </w:r>
      <w:r w:rsidR="00F4111B" w:rsidRPr="006E1899">
        <w:rPr>
          <w:b/>
          <w:bCs/>
          <w:sz w:val="24"/>
          <w:szCs w:val="24"/>
        </w:rPr>
        <w:t xml:space="preserve">o </w:t>
      </w:r>
      <w:r w:rsidR="002043CB">
        <w:rPr>
          <w:b/>
          <w:bCs/>
          <w:sz w:val="24"/>
          <w:szCs w:val="24"/>
        </w:rPr>
        <w:t>referido acórdão</w:t>
      </w:r>
      <w:r w:rsidR="00F4111B" w:rsidRPr="006E1899">
        <w:rPr>
          <w:b/>
          <w:bCs/>
          <w:sz w:val="24"/>
          <w:szCs w:val="24"/>
        </w:rPr>
        <w:t xml:space="preserve"> foi </w:t>
      </w:r>
      <w:r w:rsidRPr="006E1899">
        <w:rPr>
          <w:b/>
          <w:bCs/>
          <w:sz w:val="24"/>
          <w:szCs w:val="24"/>
        </w:rPr>
        <w:t>mencionado</w:t>
      </w:r>
      <w:r w:rsidR="00F4111B" w:rsidRPr="006E1899">
        <w:rPr>
          <w:b/>
          <w:bCs/>
          <w:sz w:val="24"/>
          <w:szCs w:val="24"/>
        </w:rPr>
        <w:t xml:space="preserve"> justamente por tratar de hipótese bem semelhante à examinada </w:t>
      </w:r>
      <w:r>
        <w:rPr>
          <w:b/>
          <w:bCs/>
          <w:sz w:val="24"/>
          <w:szCs w:val="24"/>
        </w:rPr>
        <w:t>na decisão recorrida</w:t>
      </w:r>
      <w:r w:rsidR="00F4111B" w:rsidRPr="00F4111B">
        <w:rPr>
          <w:sz w:val="24"/>
          <w:szCs w:val="24"/>
        </w:rPr>
        <w:t xml:space="preserve"> e que</w:t>
      </w:r>
      <w:r>
        <w:rPr>
          <w:sz w:val="24"/>
          <w:szCs w:val="24"/>
        </w:rPr>
        <w:t>,</w:t>
      </w:r>
      <w:r w:rsidR="00F4111B" w:rsidRPr="00F4111B">
        <w:rPr>
          <w:sz w:val="24"/>
          <w:szCs w:val="24"/>
        </w:rPr>
        <w:t xml:space="preserve"> </w:t>
      </w:r>
      <w:r w:rsidR="00F4111B" w:rsidRPr="006E1899">
        <w:rPr>
          <w:b/>
          <w:bCs/>
          <w:sz w:val="24"/>
          <w:szCs w:val="24"/>
        </w:rPr>
        <w:t xml:space="preserve">embora os efeitos da inconstitucionalidade </w:t>
      </w:r>
      <w:r w:rsidRPr="006E1899">
        <w:rPr>
          <w:b/>
          <w:bCs/>
          <w:sz w:val="24"/>
          <w:szCs w:val="24"/>
        </w:rPr>
        <w:t>da lei de</w:t>
      </w:r>
      <w:r w:rsidR="00F4111B" w:rsidRPr="006E1899">
        <w:rPr>
          <w:b/>
          <w:bCs/>
          <w:sz w:val="24"/>
          <w:szCs w:val="24"/>
        </w:rPr>
        <w:t xml:space="preserve"> Afonso Claúdio produza efeitos somente naquele caso concreto, é um importante e recente precedente desta Corte de Contas que </w:t>
      </w:r>
      <w:r w:rsidR="00F4111B" w:rsidRPr="002043CB">
        <w:rPr>
          <w:b/>
          <w:bCs/>
          <w:sz w:val="24"/>
          <w:szCs w:val="24"/>
          <w:u w:val="single"/>
        </w:rPr>
        <w:t>pode e deve ser usado como fundamento de decisão posterior</w:t>
      </w:r>
      <w:r w:rsidR="00F4111B" w:rsidRPr="006E1899">
        <w:rPr>
          <w:b/>
          <w:bCs/>
          <w:sz w:val="24"/>
          <w:szCs w:val="24"/>
        </w:rPr>
        <w:t xml:space="preserve"> cuja temática jurídica e escopo fático são semelhantes</w:t>
      </w:r>
      <w:r w:rsidR="00F4111B" w:rsidRPr="00F4111B">
        <w:rPr>
          <w:sz w:val="24"/>
          <w:szCs w:val="24"/>
        </w:rPr>
        <w:t xml:space="preserve">. </w:t>
      </w:r>
    </w:p>
    <w:p w14:paraId="5BC601AA" w14:textId="4A998FA6" w:rsidR="00F4111B" w:rsidRDefault="00F4111B" w:rsidP="00E15F13">
      <w:pPr>
        <w:rPr>
          <w:sz w:val="24"/>
          <w:szCs w:val="24"/>
        </w:rPr>
      </w:pPr>
      <w:r w:rsidRPr="00F4111B">
        <w:rPr>
          <w:sz w:val="24"/>
          <w:szCs w:val="24"/>
        </w:rPr>
        <w:t xml:space="preserve">Neste sentido </w:t>
      </w:r>
      <w:r w:rsidR="006E1899">
        <w:rPr>
          <w:sz w:val="24"/>
          <w:szCs w:val="24"/>
        </w:rPr>
        <w:t>foi citado</w:t>
      </w:r>
      <w:r w:rsidRPr="00F4111B">
        <w:rPr>
          <w:sz w:val="24"/>
          <w:szCs w:val="24"/>
        </w:rPr>
        <w:t xml:space="preserve"> o inciso V do art. 313 do Regimento Interno do TCEES</w:t>
      </w:r>
      <w:r w:rsidR="006E1899">
        <w:rPr>
          <w:sz w:val="24"/>
          <w:szCs w:val="24"/>
        </w:rPr>
        <w:t>, segundo o qual o</w:t>
      </w:r>
      <w:r w:rsidR="006E1899" w:rsidRPr="006E1899">
        <w:rPr>
          <w:sz w:val="24"/>
          <w:szCs w:val="24"/>
        </w:rPr>
        <w:t>s processos que tramitam n</w:t>
      </w:r>
      <w:r w:rsidR="002043CB">
        <w:rPr>
          <w:sz w:val="24"/>
          <w:szCs w:val="24"/>
        </w:rPr>
        <w:t>este</w:t>
      </w:r>
      <w:r w:rsidR="006E1899" w:rsidRPr="006E1899">
        <w:rPr>
          <w:sz w:val="24"/>
          <w:szCs w:val="24"/>
        </w:rPr>
        <w:t xml:space="preserve"> Tribunal serão devidamente instruídos pelas unidades competentes, observando-se, entre outros, os seguintes critérios: </w:t>
      </w:r>
      <w:r w:rsidR="006E1899" w:rsidRPr="006E1899">
        <w:rPr>
          <w:b/>
          <w:bCs/>
          <w:sz w:val="24"/>
          <w:szCs w:val="24"/>
        </w:rPr>
        <w:t>indicação de entendimento adotado pelo Plenário ou pelas Câmaras, bem como de súmula de jurisprudência, que tratem da matéria em exame</w:t>
      </w:r>
      <w:r w:rsidR="006E1899" w:rsidRPr="006E1899">
        <w:rPr>
          <w:sz w:val="24"/>
          <w:szCs w:val="24"/>
        </w:rPr>
        <w:t>.</w:t>
      </w:r>
    </w:p>
    <w:p w14:paraId="052AB21B" w14:textId="38081AAA" w:rsidR="005966B7" w:rsidRDefault="006E1899" w:rsidP="00E15F13">
      <w:pPr>
        <w:rPr>
          <w:sz w:val="24"/>
          <w:szCs w:val="24"/>
        </w:rPr>
      </w:pPr>
      <w:r>
        <w:rPr>
          <w:sz w:val="24"/>
          <w:szCs w:val="24"/>
        </w:rPr>
        <w:t>Analisando o mérito, o conselheiro relator acompanhou o entendimento técnico, reiterando</w:t>
      </w:r>
      <w:r w:rsidR="005966B7">
        <w:rPr>
          <w:sz w:val="24"/>
          <w:szCs w:val="24"/>
        </w:rPr>
        <w:t xml:space="preserve"> que </w:t>
      </w:r>
      <w:r w:rsidR="00F4111B" w:rsidRPr="005966B7">
        <w:rPr>
          <w:b/>
          <w:bCs/>
          <w:sz w:val="24"/>
          <w:szCs w:val="24"/>
        </w:rPr>
        <w:t>os efeitos da negativa de exequibilidade contidos no Acórdão</w:t>
      </w:r>
      <w:r w:rsidR="005966B7">
        <w:rPr>
          <w:b/>
          <w:bCs/>
          <w:sz w:val="24"/>
          <w:szCs w:val="24"/>
        </w:rPr>
        <w:t xml:space="preserve"> TC 0</w:t>
      </w:r>
      <w:r w:rsidR="00F4111B" w:rsidRPr="005966B7">
        <w:rPr>
          <w:b/>
          <w:bCs/>
          <w:sz w:val="24"/>
          <w:szCs w:val="24"/>
        </w:rPr>
        <w:t>15/2023</w:t>
      </w:r>
      <w:r w:rsidR="005966B7">
        <w:rPr>
          <w:b/>
          <w:bCs/>
          <w:sz w:val="24"/>
          <w:szCs w:val="24"/>
        </w:rPr>
        <w:t>, de fato,</w:t>
      </w:r>
      <w:r w:rsidR="00F4111B" w:rsidRPr="005966B7">
        <w:rPr>
          <w:b/>
          <w:bCs/>
          <w:sz w:val="24"/>
          <w:szCs w:val="24"/>
        </w:rPr>
        <w:t xml:space="preserve"> não podem se estender </w:t>
      </w:r>
      <w:r w:rsidR="002043CB">
        <w:rPr>
          <w:b/>
          <w:bCs/>
          <w:sz w:val="24"/>
          <w:szCs w:val="24"/>
        </w:rPr>
        <w:t xml:space="preserve">para </w:t>
      </w:r>
      <w:r w:rsidR="00F4111B" w:rsidRPr="005966B7">
        <w:rPr>
          <w:b/>
          <w:bCs/>
          <w:sz w:val="24"/>
          <w:szCs w:val="24"/>
        </w:rPr>
        <w:t>além daquele caso concreto</w:t>
      </w:r>
      <w:r w:rsidR="00F4111B" w:rsidRPr="00F4111B">
        <w:rPr>
          <w:sz w:val="24"/>
          <w:szCs w:val="24"/>
        </w:rPr>
        <w:t xml:space="preserve">. No entanto, </w:t>
      </w:r>
      <w:r w:rsidR="005966B7" w:rsidRPr="005966B7">
        <w:rPr>
          <w:b/>
          <w:bCs/>
          <w:sz w:val="24"/>
          <w:szCs w:val="24"/>
        </w:rPr>
        <w:t>trata-se de</w:t>
      </w:r>
      <w:r w:rsidR="00F4111B" w:rsidRPr="005966B7">
        <w:rPr>
          <w:b/>
          <w:bCs/>
          <w:sz w:val="24"/>
          <w:szCs w:val="24"/>
        </w:rPr>
        <w:t xml:space="preserve"> um julgado deste Tribunal de Contas, que pode e deve ser considerado em decisões que envolvem matérias semelhantes</w:t>
      </w:r>
      <w:r w:rsidR="00F4111B" w:rsidRPr="00F4111B">
        <w:rPr>
          <w:sz w:val="24"/>
          <w:szCs w:val="24"/>
        </w:rPr>
        <w:t xml:space="preserve">. </w:t>
      </w:r>
    </w:p>
    <w:p w14:paraId="31FBA03E" w14:textId="59F14082" w:rsidR="00F4111B" w:rsidRDefault="005966B7" w:rsidP="00E15F13">
      <w:pPr>
        <w:rPr>
          <w:sz w:val="24"/>
          <w:szCs w:val="24"/>
        </w:rPr>
      </w:pPr>
      <w:r>
        <w:rPr>
          <w:sz w:val="24"/>
          <w:szCs w:val="24"/>
        </w:rPr>
        <w:t>Sustentou, ainda, que</w:t>
      </w:r>
      <w:r w:rsidR="00F4111B" w:rsidRPr="00F4111B">
        <w:rPr>
          <w:sz w:val="24"/>
          <w:szCs w:val="24"/>
        </w:rPr>
        <w:t xml:space="preserve"> nos termos do art. 70 da Lei Complementar 621/2012</w:t>
      </w:r>
      <w:r>
        <w:rPr>
          <w:sz w:val="24"/>
          <w:szCs w:val="24"/>
        </w:rPr>
        <w:t xml:space="preserve"> (</w:t>
      </w:r>
      <w:r w:rsidR="00F4111B" w:rsidRPr="00F4111B">
        <w:rPr>
          <w:sz w:val="24"/>
          <w:szCs w:val="24"/>
        </w:rPr>
        <w:t xml:space="preserve">Lei Orgânica </w:t>
      </w:r>
      <w:r>
        <w:rPr>
          <w:sz w:val="24"/>
          <w:szCs w:val="24"/>
        </w:rPr>
        <w:t xml:space="preserve">do TCEES) </w:t>
      </w:r>
      <w:r w:rsidR="00F4111B" w:rsidRPr="00F4111B">
        <w:rPr>
          <w:sz w:val="24"/>
          <w:szCs w:val="24"/>
        </w:rPr>
        <w:t>“aplicam</w:t>
      </w:r>
      <w:r w:rsidR="00F4111B">
        <w:rPr>
          <w:sz w:val="24"/>
          <w:szCs w:val="24"/>
        </w:rPr>
        <w:t>-</w:t>
      </w:r>
      <w:r w:rsidR="00F4111B" w:rsidRPr="00F4111B">
        <w:rPr>
          <w:sz w:val="24"/>
          <w:szCs w:val="24"/>
        </w:rPr>
        <w:t>se aos processos no âmbito do Tribunal de Contas, subsidiariamente, as disposições do Código de Processo Civil”</w:t>
      </w:r>
      <w:r>
        <w:rPr>
          <w:sz w:val="24"/>
          <w:szCs w:val="24"/>
        </w:rPr>
        <w:t xml:space="preserve"> e, n</w:t>
      </w:r>
      <w:r w:rsidR="00F4111B" w:rsidRPr="00F4111B">
        <w:rPr>
          <w:sz w:val="24"/>
          <w:szCs w:val="24"/>
        </w:rPr>
        <w:t xml:space="preserve">este sentido, o </w:t>
      </w:r>
      <w:r w:rsidR="002043CB">
        <w:rPr>
          <w:sz w:val="24"/>
          <w:szCs w:val="24"/>
        </w:rPr>
        <w:t>CPC</w:t>
      </w:r>
      <w:r w:rsidR="00F4111B" w:rsidRPr="00F4111B">
        <w:rPr>
          <w:sz w:val="24"/>
          <w:szCs w:val="24"/>
        </w:rPr>
        <w:t xml:space="preserve"> estabelece</w:t>
      </w:r>
      <w:r w:rsidR="002043CB">
        <w:rPr>
          <w:sz w:val="24"/>
          <w:szCs w:val="24"/>
        </w:rPr>
        <w:t>,</w:t>
      </w:r>
      <w:r w:rsidR="00F4111B" w:rsidRPr="00F4111B">
        <w:rPr>
          <w:sz w:val="24"/>
          <w:szCs w:val="24"/>
        </w:rPr>
        <w:t xml:space="preserve"> em seu art. 927, inciso V, </w:t>
      </w:r>
      <w:r w:rsidR="00F4111B" w:rsidRPr="005966B7">
        <w:rPr>
          <w:b/>
          <w:bCs/>
          <w:sz w:val="24"/>
          <w:szCs w:val="24"/>
        </w:rPr>
        <w:t xml:space="preserve">a obrigatoriedade dos </w:t>
      </w:r>
      <w:r w:rsidR="002043CB">
        <w:rPr>
          <w:b/>
          <w:bCs/>
          <w:sz w:val="24"/>
          <w:szCs w:val="24"/>
        </w:rPr>
        <w:t>T</w:t>
      </w:r>
      <w:r w:rsidR="00F4111B" w:rsidRPr="005966B7">
        <w:rPr>
          <w:b/>
          <w:bCs/>
          <w:sz w:val="24"/>
          <w:szCs w:val="24"/>
        </w:rPr>
        <w:t>ribunais de observar a orientação do plenário ou do órgão especial aos quais estiverem vinculados</w:t>
      </w:r>
      <w:r w:rsidR="00F4111B" w:rsidRPr="00F4111B">
        <w:rPr>
          <w:sz w:val="24"/>
          <w:szCs w:val="24"/>
        </w:rPr>
        <w:t xml:space="preserve">. Assim, </w:t>
      </w:r>
      <w:r w:rsidRPr="002043CB">
        <w:rPr>
          <w:b/>
          <w:bCs/>
          <w:sz w:val="24"/>
          <w:szCs w:val="24"/>
        </w:rPr>
        <w:t>concluiu que</w:t>
      </w:r>
      <w:r w:rsidR="00F4111B" w:rsidRPr="002043CB">
        <w:rPr>
          <w:b/>
          <w:bCs/>
          <w:sz w:val="24"/>
          <w:szCs w:val="24"/>
        </w:rPr>
        <w:t xml:space="preserve"> não há que se falar em extrapolação na aplicação </w:t>
      </w:r>
      <w:r w:rsidRPr="002043CB">
        <w:rPr>
          <w:b/>
          <w:bCs/>
          <w:sz w:val="24"/>
          <w:szCs w:val="24"/>
        </w:rPr>
        <w:t>do referido precedente</w:t>
      </w:r>
      <w:r w:rsidR="00F4111B" w:rsidRPr="002043CB">
        <w:rPr>
          <w:b/>
          <w:bCs/>
          <w:sz w:val="24"/>
          <w:szCs w:val="24"/>
        </w:rPr>
        <w:t xml:space="preserve"> ao caso em análise</w:t>
      </w:r>
      <w:r w:rsidR="00F4111B" w:rsidRPr="00F411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C64A60" w14:textId="30959E57" w:rsidR="005966B7" w:rsidRDefault="005966B7" w:rsidP="00E15F13">
      <w:pPr>
        <w:rPr>
          <w:sz w:val="24"/>
          <w:szCs w:val="24"/>
        </w:rPr>
      </w:pPr>
      <w:r>
        <w:rPr>
          <w:sz w:val="24"/>
          <w:szCs w:val="24"/>
        </w:rPr>
        <w:t xml:space="preserve">O relator votou por conhecer do recurso </w:t>
      </w:r>
      <w:r w:rsidR="00C7126A">
        <w:rPr>
          <w:sz w:val="24"/>
          <w:szCs w:val="24"/>
        </w:rPr>
        <w:t>para</w:t>
      </w:r>
      <w:r>
        <w:rPr>
          <w:sz w:val="24"/>
          <w:szCs w:val="24"/>
        </w:rPr>
        <w:t xml:space="preserve"> dar-lhe provimento parcial, sendo acompanhado pela unanimidade do Plenário.</w:t>
      </w:r>
    </w:p>
    <w:p w14:paraId="081C41E8" w14:textId="33E235DB" w:rsidR="00F4111B" w:rsidRDefault="00F4111B" w:rsidP="00E15F13">
      <w:pPr>
        <w:rPr>
          <w:sz w:val="24"/>
          <w:szCs w:val="24"/>
        </w:rPr>
      </w:pPr>
      <w:hyperlink r:id="rId14" w:history="1">
        <w:r w:rsidRPr="006A6B29">
          <w:rPr>
            <w:rStyle w:val="Hyperlink"/>
            <w:sz w:val="24"/>
            <w:szCs w:val="24"/>
          </w:rPr>
          <w:t>Acórdão TC 802/2024</w:t>
        </w:r>
      </w:hyperlink>
      <w:r>
        <w:rPr>
          <w:sz w:val="24"/>
          <w:szCs w:val="24"/>
        </w:rPr>
        <w:t>, Processo TC 5473/2023, relator conselheiro Davi Diniz de Carvalho, publicado em 12/08/2024.</w:t>
      </w:r>
    </w:p>
    <w:p w14:paraId="516B3359" w14:textId="71AEB76C" w:rsidR="00471D61" w:rsidRPr="00611073" w:rsidRDefault="00732179" w:rsidP="00471D61">
      <w:pPr>
        <w:pStyle w:val="Ttulo1"/>
      </w:pPr>
      <w:bookmarkStart w:id="6" w:name="_Toc179303501"/>
      <w:r>
        <w:t xml:space="preserve">8. </w:t>
      </w:r>
      <w:r w:rsidR="00471D61">
        <w:t xml:space="preserve">RESPONSABILIDADE. CONTRATAÇÃO. SUPERFATURAMENTO. RESSARCIMENTO AO ERÁRIO. PREÇO DE MERCADO. </w:t>
      </w:r>
      <w:r w:rsidR="00471D61" w:rsidRPr="004C2A1C">
        <w:t>Para a configuração d</w:t>
      </w:r>
      <w:r w:rsidR="0039748D">
        <w:t>e</w:t>
      </w:r>
      <w:r w:rsidR="00471D61" w:rsidRPr="004C2A1C">
        <w:t xml:space="preserve"> superfaturamento</w:t>
      </w:r>
      <w:r w:rsidR="00635545">
        <w:t xml:space="preserve"> em contrato administrativo</w:t>
      </w:r>
      <w:r w:rsidR="00471D61" w:rsidRPr="004C2A1C">
        <w:t xml:space="preserve"> e </w:t>
      </w:r>
      <w:r w:rsidR="00471D61">
        <w:t xml:space="preserve">a </w:t>
      </w:r>
      <w:r w:rsidR="00471D61" w:rsidRPr="004C2A1C">
        <w:t xml:space="preserve">consequente </w:t>
      </w:r>
      <w:r w:rsidR="00471D61">
        <w:t xml:space="preserve">imputação de </w:t>
      </w:r>
      <w:r w:rsidR="00471D61" w:rsidRPr="004C2A1C">
        <w:t>ressarcimento ao erário é imprescindível a comprovação de dano efetivo, mediante a comparação dos preços pagos com os preços de mercado à época da contratação, sendo insuficiente a presunção de dano baseada em estimativas da fase interna da licitação.</w:t>
      </w:r>
      <w:bookmarkEnd w:id="6"/>
    </w:p>
    <w:p w14:paraId="189DB573" w14:textId="62F12091" w:rsidR="00471D61" w:rsidRDefault="00471D61" w:rsidP="00471D61">
      <w:pPr>
        <w:rPr>
          <w:sz w:val="24"/>
        </w:rPr>
      </w:pPr>
      <w:r w:rsidRPr="00611073">
        <w:rPr>
          <w:sz w:val="24"/>
        </w:rPr>
        <w:t>O</w:t>
      </w:r>
      <w:r>
        <w:rPr>
          <w:sz w:val="24"/>
        </w:rPr>
        <w:t xml:space="preserve"> Plenário do</w:t>
      </w:r>
      <w:r w:rsidRPr="00611073">
        <w:rPr>
          <w:sz w:val="24"/>
        </w:rPr>
        <w:t xml:space="preserve"> </w:t>
      </w:r>
      <w:r>
        <w:rPr>
          <w:sz w:val="24"/>
        </w:rPr>
        <w:t>TCEES</w:t>
      </w:r>
      <w:r w:rsidRPr="00611073">
        <w:rPr>
          <w:sz w:val="24"/>
        </w:rPr>
        <w:t xml:space="preserve"> analisou</w:t>
      </w:r>
      <w:r>
        <w:rPr>
          <w:sz w:val="24"/>
        </w:rPr>
        <w:t xml:space="preserve"> </w:t>
      </w:r>
      <w:r w:rsidRPr="00611073">
        <w:rPr>
          <w:sz w:val="24"/>
        </w:rPr>
        <w:t xml:space="preserve">pedido de revisão interposto por ex-secretários municipais de Aracruz </w:t>
      </w:r>
      <w:r>
        <w:rPr>
          <w:sz w:val="24"/>
        </w:rPr>
        <w:t>em face do</w:t>
      </w:r>
      <w:r w:rsidRPr="00611073">
        <w:rPr>
          <w:sz w:val="24"/>
        </w:rPr>
        <w:t xml:space="preserve"> Acórdão </w:t>
      </w:r>
      <w:r>
        <w:rPr>
          <w:sz w:val="24"/>
        </w:rPr>
        <w:t>TC</w:t>
      </w:r>
      <w:r w:rsidRPr="00611073">
        <w:rPr>
          <w:sz w:val="24"/>
        </w:rPr>
        <w:t xml:space="preserve"> 234/2022, que os condenou ao pagamento de débito e multa</w:t>
      </w:r>
      <w:r>
        <w:rPr>
          <w:sz w:val="24"/>
        </w:rPr>
        <w:t xml:space="preserve"> em razão da </w:t>
      </w:r>
      <w:r w:rsidRPr="00611073">
        <w:rPr>
          <w:sz w:val="24"/>
        </w:rPr>
        <w:t xml:space="preserve">contratação de veículos pesados de forma global e não por item. </w:t>
      </w:r>
    </w:p>
    <w:p w14:paraId="7546C7A1" w14:textId="77777777" w:rsidR="00471D61" w:rsidRPr="00611073" w:rsidRDefault="00471D61" w:rsidP="00471D61">
      <w:pPr>
        <w:rPr>
          <w:sz w:val="24"/>
        </w:rPr>
      </w:pPr>
      <w:r w:rsidRPr="00611073">
        <w:rPr>
          <w:sz w:val="24"/>
        </w:rPr>
        <w:t>A defesa alegou que a contratação por itens não garantiria economia e que não houve comprovação de sobrepreço ou superfaturamento, sendo que a mera divisão por item poderia não resultar em custos menores, pois o ganho de escala seria perdido.</w:t>
      </w:r>
    </w:p>
    <w:p w14:paraId="376556F0" w14:textId="27FD5C53" w:rsidR="00471D61" w:rsidRDefault="00471D61" w:rsidP="00471D61">
      <w:pPr>
        <w:rPr>
          <w:sz w:val="24"/>
        </w:rPr>
      </w:pPr>
      <w:r w:rsidRPr="00611073">
        <w:rPr>
          <w:sz w:val="24"/>
        </w:rPr>
        <w:t xml:space="preserve">A área técnica do Tribunal, ao analisar o mérito, considerou </w:t>
      </w:r>
      <w:r w:rsidR="00047759">
        <w:rPr>
          <w:sz w:val="24"/>
        </w:rPr>
        <w:t xml:space="preserve">que, de fato, </w:t>
      </w:r>
      <w:r w:rsidRPr="00611073">
        <w:rPr>
          <w:b/>
          <w:bCs/>
          <w:sz w:val="24"/>
        </w:rPr>
        <w:t xml:space="preserve">a contratação </w:t>
      </w:r>
      <w:r w:rsidRPr="008E7930">
        <w:rPr>
          <w:b/>
          <w:bCs/>
          <w:sz w:val="24"/>
        </w:rPr>
        <w:t xml:space="preserve">deveria ter sido realizada </w:t>
      </w:r>
      <w:r w:rsidRPr="00611073">
        <w:rPr>
          <w:b/>
          <w:bCs/>
          <w:sz w:val="24"/>
        </w:rPr>
        <w:t>por itens</w:t>
      </w:r>
      <w:r w:rsidRPr="00611073">
        <w:rPr>
          <w:sz w:val="24"/>
        </w:rPr>
        <w:t xml:space="preserve">, pois permitiria que empresas especializadas apresentassem propostas para cada item. No entanto, discordou da condenação relacionada ao superfaturamento. Segundo a área técnica, houve sobrepreço, ou seja, </w:t>
      </w:r>
      <w:r w:rsidRPr="00611073">
        <w:rPr>
          <w:b/>
          <w:bCs/>
          <w:sz w:val="24"/>
        </w:rPr>
        <w:t>os preços contratados eram superiores àqueles estimados durante a fase interna da licitação</w:t>
      </w:r>
      <w:r w:rsidRPr="00611073">
        <w:rPr>
          <w:sz w:val="24"/>
        </w:rPr>
        <w:t xml:space="preserve">, mas </w:t>
      </w:r>
      <w:r w:rsidRPr="00611073">
        <w:rPr>
          <w:b/>
          <w:bCs/>
          <w:sz w:val="24"/>
        </w:rPr>
        <w:t>não se demonstrou efetivamente o pagamento a maior em relação aos preços de mercado praticados à época da contratação</w:t>
      </w:r>
      <w:r w:rsidR="00047759">
        <w:rPr>
          <w:sz w:val="24"/>
        </w:rPr>
        <w:t>.</w:t>
      </w:r>
    </w:p>
    <w:p w14:paraId="45C4FAF2" w14:textId="76E41FCC" w:rsidR="00471D61" w:rsidRPr="00611073" w:rsidRDefault="00471D61" w:rsidP="00471D61">
      <w:pPr>
        <w:rPr>
          <w:sz w:val="24"/>
        </w:rPr>
      </w:pPr>
      <w:r w:rsidRPr="00611073">
        <w:rPr>
          <w:sz w:val="24"/>
        </w:rPr>
        <w:t xml:space="preserve">Ressaltou </w:t>
      </w:r>
      <w:r w:rsidRPr="00611073">
        <w:rPr>
          <w:b/>
          <w:bCs/>
          <w:sz w:val="24"/>
        </w:rPr>
        <w:t>que a apuração dos valores pagos a maior (superfaturamento) requer</w:t>
      </w:r>
      <w:r w:rsidR="00047759">
        <w:rPr>
          <w:b/>
          <w:bCs/>
          <w:sz w:val="24"/>
        </w:rPr>
        <w:t xml:space="preserve"> </w:t>
      </w:r>
      <w:r w:rsidRPr="00611073">
        <w:rPr>
          <w:b/>
          <w:bCs/>
          <w:sz w:val="24"/>
        </w:rPr>
        <w:t>a verificação dos preços pagos em cotejo com aqueles praticados no mercado</w:t>
      </w:r>
      <w:r w:rsidRPr="00611073">
        <w:rPr>
          <w:sz w:val="24"/>
        </w:rPr>
        <w:t xml:space="preserve">, </w:t>
      </w:r>
      <w:r w:rsidRPr="00611073">
        <w:rPr>
          <w:b/>
          <w:bCs/>
          <w:sz w:val="24"/>
        </w:rPr>
        <w:t>preferencialmente por meio dos sistemas oficiais de referência da Administração Pública ou pesquisa de mercado ao tempo da contratação</w:t>
      </w:r>
      <w:r w:rsidRPr="00611073">
        <w:rPr>
          <w:sz w:val="24"/>
        </w:rPr>
        <w:t>.</w:t>
      </w:r>
    </w:p>
    <w:p w14:paraId="5713BCCE" w14:textId="77777777" w:rsidR="00047759" w:rsidRDefault="00471D61" w:rsidP="00471D61">
      <w:pPr>
        <w:rPr>
          <w:sz w:val="24"/>
        </w:rPr>
      </w:pPr>
      <w:r w:rsidRPr="00611073">
        <w:rPr>
          <w:sz w:val="24"/>
        </w:rPr>
        <w:t xml:space="preserve">O conselheiro relator </w:t>
      </w:r>
      <w:r w:rsidR="00047759">
        <w:rPr>
          <w:sz w:val="24"/>
        </w:rPr>
        <w:t>corroborou</w:t>
      </w:r>
      <w:r w:rsidRPr="00611073">
        <w:rPr>
          <w:sz w:val="24"/>
        </w:rPr>
        <w:t xml:space="preserve"> </w:t>
      </w:r>
      <w:r>
        <w:rPr>
          <w:sz w:val="24"/>
        </w:rPr>
        <w:t>a</w:t>
      </w:r>
      <w:r w:rsidRPr="00611073">
        <w:rPr>
          <w:sz w:val="24"/>
        </w:rPr>
        <w:t xml:space="preserve"> análise</w:t>
      </w:r>
      <w:r>
        <w:rPr>
          <w:sz w:val="24"/>
        </w:rPr>
        <w:t xml:space="preserve"> técnica</w:t>
      </w:r>
      <w:r w:rsidRPr="00611073">
        <w:rPr>
          <w:sz w:val="24"/>
        </w:rPr>
        <w:t>, reforçando que a jurisprudência d</w:t>
      </w:r>
      <w:r>
        <w:rPr>
          <w:sz w:val="24"/>
        </w:rPr>
        <w:t>este</w:t>
      </w:r>
      <w:r w:rsidRPr="00611073">
        <w:rPr>
          <w:sz w:val="24"/>
        </w:rPr>
        <w:t xml:space="preserve"> Tribunal exige a </w:t>
      </w:r>
      <w:r w:rsidRPr="00611073">
        <w:rPr>
          <w:b/>
          <w:bCs/>
          <w:sz w:val="24"/>
        </w:rPr>
        <w:t>demonstração de dano efetivo para justificar o ressarcimento</w:t>
      </w:r>
      <w:r w:rsidRPr="00611073">
        <w:rPr>
          <w:sz w:val="24"/>
        </w:rPr>
        <w:t xml:space="preserve">. </w:t>
      </w:r>
      <w:r w:rsidR="00047759">
        <w:rPr>
          <w:sz w:val="24"/>
        </w:rPr>
        <w:t>Afirmou que a</w:t>
      </w:r>
      <w:r w:rsidRPr="00611073">
        <w:rPr>
          <w:sz w:val="24"/>
        </w:rPr>
        <w:t xml:space="preserve"> simples presunção de dano, baseada em comparações com orçamentos de outras empresas, não </w:t>
      </w:r>
      <w:r w:rsidR="00047759">
        <w:rPr>
          <w:sz w:val="24"/>
        </w:rPr>
        <w:t>é</w:t>
      </w:r>
      <w:r w:rsidRPr="00611073">
        <w:rPr>
          <w:sz w:val="24"/>
        </w:rPr>
        <w:t xml:space="preserve"> suficiente para condenar os gestores. </w:t>
      </w:r>
    </w:p>
    <w:p w14:paraId="30DBF3E0" w14:textId="2B3F014E" w:rsidR="00471D61" w:rsidRDefault="00471D61" w:rsidP="00471D61">
      <w:pPr>
        <w:rPr>
          <w:sz w:val="24"/>
        </w:rPr>
      </w:pPr>
      <w:r>
        <w:rPr>
          <w:sz w:val="24"/>
        </w:rPr>
        <w:t>Nesses termos</w:t>
      </w:r>
      <w:r w:rsidRPr="00611073">
        <w:rPr>
          <w:sz w:val="24"/>
        </w:rPr>
        <w:t xml:space="preserve">, o Plenário decidiu por dar </w:t>
      </w:r>
      <w:r w:rsidRPr="00611073">
        <w:rPr>
          <w:b/>
          <w:bCs/>
          <w:sz w:val="24"/>
        </w:rPr>
        <w:t>provimento parcial</w:t>
      </w:r>
      <w:r w:rsidRPr="00611073">
        <w:rPr>
          <w:sz w:val="24"/>
        </w:rPr>
        <w:t xml:space="preserve"> ao pedido de revisão, reformando o acórdão anterior e </w:t>
      </w:r>
      <w:r w:rsidRPr="00611073">
        <w:rPr>
          <w:b/>
          <w:bCs/>
          <w:sz w:val="24"/>
        </w:rPr>
        <w:t>afastando a obrigação de ressarcimento</w:t>
      </w:r>
      <w:r w:rsidRPr="00611073">
        <w:rPr>
          <w:sz w:val="24"/>
        </w:rPr>
        <w:t xml:space="preserve">, mas </w:t>
      </w:r>
      <w:r w:rsidRPr="00611073">
        <w:rPr>
          <w:b/>
          <w:bCs/>
          <w:sz w:val="24"/>
        </w:rPr>
        <w:t>mantendo a multa</w:t>
      </w:r>
      <w:r w:rsidRPr="00611073">
        <w:rPr>
          <w:sz w:val="24"/>
        </w:rPr>
        <w:t xml:space="preserve"> aplicada </w:t>
      </w:r>
      <w:r>
        <w:rPr>
          <w:sz w:val="24"/>
        </w:rPr>
        <w:t>em razão da manutenção da irregularidade pela contratação de forma global do objeto</w:t>
      </w:r>
      <w:r w:rsidRPr="00611073">
        <w:rPr>
          <w:sz w:val="24"/>
        </w:rPr>
        <w:t>.</w:t>
      </w:r>
    </w:p>
    <w:p w14:paraId="0127A9AD" w14:textId="77777777" w:rsidR="00471D61" w:rsidRDefault="00471D61" w:rsidP="00471D61">
      <w:pPr>
        <w:rPr>
          <w:sz w:val="24"/>
        </w:rPr>
      </w:pPr>
      <w:hyperlink r:id="rId15" w:history="1">
        <w:r w:rsidRPr="007C29BD">
          <w:rPr>
            <w:rStyle w:val="Hyperlink"/>
            <w:sz w:val="24"/>
          </w:rPr>
          <w:t>Acórdão TC 928/2024</w:t>
        </w:r>
      </w:hyperlink>
      <w:r>
        <w:rPr>
          <w:sz w:val="24"/>
        </w:rPr>
        <w:t>, Processo TC 2834/2023, relator conselheiro Luiz Carlos Ciciliotti da Cunha, publicado em 26/08/2024.</w:t>
      </w:r>
    </w:p>
    <w:p w14:paraId="05FBBE83" w14:textId="77777777" w:rsidR="006F1740" w:rsidRDefault="006F1740" w:rsidP="006F1740">
      <w:pPr>
        <w:spacing w:after="12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94130" wp14:editId="3D368270">
                <wp:simplePos x="0" y="0"/>
                <wp:positionH relativeFrom="column">
                  <wp:posOffset>-1066800</wp:posOffset>
                </wp:positionH>
                <wp:positionV relativeFrom="paragraph">
                  <wp:posOffset>246380</wp:posOffset>
                </wp:positionV>
                <wp:extent cx="7524750" cy="28575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75E49" w14:textId="77777777" w:rsidR="006F1740" w:rsidRPr="006D7450" w:rsidRDefault="006F1740" w:rsidP="006F1740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z w:val="28"/>
                                <w:szCs w:val="28"/>
                              </w:rPr>
                            </w:pPr>
                            <w:r w:rsidRPr="006D745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1ª CÂMARA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4130" id="Retângulo 9" o:spid="_x0000_s1030" style="position:absolute;left:0;text-align:left;margin-left:-84pt;margin-top:19.4pt;width:592.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" fillcolor="#fff2cc [663]" stroked="f" strokeweight="1pt">
                <v:textbox>
                  <w:txbxContent>
                    <w:p w14:paraId="0FD75E49" w14:textId="77777777" w:rsidR="006F1740" w:rsidRPr="006D7450" w:rsidRDefault="006F1740" w:rsidP="006F1740">
                      <w:pPr>
                        <w:jc w:val="center"/>
                        <w:rPr>
                          <w:b/>
                          <w:color w:val="FFF2CC" w:themeColor="accent4" w:themeTint="33"/>
                          <w:sz w:val="28"/>
                          <w:szCs w:val="28"/>
                        </w:rPr>
                      </w:pPr>
                      <w:r w:rsidRPr="006D745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1ª CÂMARA</w:t>
                      </w:r>
                    </w:p>
                  </w:txbxContent>
                </v:textbox>
              </v:rect>
            </w:pict>
          </mc:Fallback>
        </mc:AlternateContent>
      </w:r>
    </w:p>
    <w:p w14:paraId="25C865A2" w14:textId="77777777" w:rsidR="006F1740" w:rsidRDefault="006F1740" w:rsidP="006F1740">
      <w:pPr>
        <w:spacing w:after="120" w:line="240" w:lineRule="auto"/>
        <w:jc w:val="center"/>
      </w:pPr>
    </w:p>
    <w:p w14:paraId="13EFBA9E" w14:textId="77777777" w:rsidR="006F1740" w:rsidRDefault="006F1740" w:rsidP="006F1740">
      <w:pPr>
        <w:spacing w:after="120" w:line="240" w:lineRule="auto"/>
        <w:jc w:val="center"/>
      </w:pPr>
    </w:p>
    <w:p w14:paraId="6ED6ECCD" w14:textId="2940A207" w:rsidR="006F1740" w:rsidRPr="00B224E4" w:rsidRDefault="00732179" w:rsidP="006F1740">
      <w:pPr>
        <w:pStyle w:val="Ttulo2"/>
        <w:rPr>
          <w:szCs w:val="24"/>
        </w:rPr>
      </w:pPr>
      <w:bookmarkStart w:id="7" w:name="_Toc179303502"/>
      <w:r>
        <w:t xml:space="preserve">9. </w:t>
      </w:r>
      <w:r w:rsidR="006F1740">
        <w:t xml:space="preserve">FINANÇAS PÚBLICAS. RECEITA PÚBLICA. ITBI. FISCALIZAÇÃO. VALOR VENAL. </w:t>
      </w:r>
      <w:r w:rsidR="006F1740" w:rsidRPr="00B224E4">
        <w:rPr>
          <w:szCs w:val="24"/>
        </w:rPr>
        <w:t xml:space="preserve">O município tem o dever de fiscalizar o lançamento do </w:t>
      </w:r>
      <w:r w:rsidR="003B35DE">
        <w:rPr>
          <w:szCs w:val="24"/>
        </w:rPr>
        <w:t>Imposto sobre Transmissão de Bens Imóveis</w:t>
      </w:r>
      <w:r w:rsidR="003B35DE" w:rsidRPr="00B224E4">
        <w:rPr>
          <w:szCs w:val="24"/>
        </w:rPr>
        <w:t xml:space="preserve"> </w:t>
      </w:r>
      <w:r w:rsidR="003B35DE">
        <w:rPr>
          <w:szCs w:val="24"/>
        </w:rPr>
        <w:t>(</w:t>
      </w:r>
      <w:r w:rsidR="006F1740" w:rsidRPr="00B224E4">
        <w:rPr>
          <w:szCs w:val="24"/>
        </w:rPr>
        <w:t>ITBI</w:t>
      </w:r>
      <w:r w:rsidR="003B35DE">
        <w:rPr>
          <w:szCs w:val="24"/>
        </w:rPr>
        <w:t>)</w:t>
      </w:r>
      <w:r w:rsidR="006F1740" w:rsidRPr="00B224E4">
        <w:rPr>
          <w:szCs w:val="24"/>
        </w:rPr>
        <w:t xml:space="preserve">, assegurando que o valor venal declarado pelo contribuinte seja compatível com o valor de mercado do imóvel. Em caso de dúvida quanto à veracidade </w:t>
      </w:r>
      <w:r w:rsidR="0039748D">
        <w:rPr>
          <w:szCs w:val="24"/>
        </w:rPr>
        <w:t>da declaração</w:t>
      </w:r>
      <w:r w:rsidR="006F1740" w:rsidRPr="00B224E4">
        <w:rPr>
          <w:szCs w:val="24"/>
        </w:rPr>
        <w:t>, deve proceder ao arbitramento da base de cálculo</w:t>
      </w:r>
      <w:r w:rsidR="006F1740">
        <w:rPr>
          <w:szCs w:val="24"/>
        </w:rPr>
        <w:t xml:space="preserve"> </w:t>
      </w:r>
      <w:r w:rsidR="006F1740" w:rsidRPr="00B224E4">
        <w:rPr>
          <w:szCs w:val="24"/>
        </w:rPr>
        <w:t>mediante processo administrativo regular, garantindo o contraditório e a ampla defesa ao contribuinte, conforme o art. 148 do C</w:t>
      </w:r>
      <w:r w:rsidR="006F1740">
        <w:rPr>
          <w:szCs w:val="24"/>
        </w:rPr>
        <w:t>ódigo Tributário Nacional (CTN)</w:t>
      </w:r>
      <w:r w:rsidR="006F1740" w:rsidRPr="00B224E4">
        <w:rPr>
          <w:szCs w:val="24"/>
        </w:rPr>
        <w:t>, sendo vedado o uso de valores previamente fixados de forma unilateral pela administração tributária.</w:t>
      </w:r>
      <w:bookmarkEnd w:id="7"/>
    </w:p>
    <w:p w14:paraId="46477786" w14:textId="77777777" w:rsidR="006F1740" w:rsidRDefault="006F1740" w:rsidP="006F1740">
      <w:pPr>
        <w:rPr>
          <w:sz w:val="24"/>
          <w:szCs w:val="24"/>
        </w:rPr>
      </w:pPr>
      <w:r w:rsidRPr="00B224E4">
        <w:rPr>
          <w:sz w:val="24"/>
          <w:szCs w:val="24"/>
        </w:rPr>
        <w:t xml:space="preserve">A Primeira Câmara do TCEES, por unanimidade, julgou procedente denúncia sobre irregularidades no procedimento de avaliação dos imóveis no município de Alto Rio Novo para a cobrança do </w:t>
      </w:r>
      <w:r>
        <w:rPr>
          <w:sz w:val="24"/>
          <w:szCs w:val="24"/>
        </w:rPr>
        <w:t>Imposto sobre Transmissão de Bens Imóveis (</w:t>
      </w:r>
      <w:r w:rsidRPr="00B224E4">
        <w:rPr>
          <w:sz w:val="24"/>
          <w:szCs w:val="24"/>
        </w:rPr>
        <w:t>ITBI</w:t>
      </w:r>
      <w:r>
        <w:rPr>
          <w:sz w:val="24"/>
          <w:szCs w:val="24"/>
        </w:rPr>
        <w:t>)</w:t>
      </w:r>
      <w:r w:rsidRPr="00B224E4">
        <w:rPr>
          <w:sz w:val="24"/>
          <w:szCs w:val="24"/>
        </w:rPr>
        <w:t xml:space="preserve">. </w:t>
      </w:r>
    </w:p>
    <w:p w14:paraId="3EC11DAE" w14:textId="3FEAD2FC" w:rsidR="006F1740" w:rsidRPr="00B224E4" w:rsidRDefault="006F1740" w:rsidP="006F1740">
      <w:pPr>
        <w:rPr>
          <w:sz w:val="24"/>
          <w:szCs w:val="24"/>
        </w:rPr>
      </w:pPr>
      <w:r w:rsidRPr="00B224E4">
        <w:rPr>
          <w:sz w:val="24"/>
          <w:szCs w:val="24"/>
        </w:rPr>
        <w:t xml:space="preserve">A denúncia apontava que </w:t>
      </w:r>
      <w:r w:rsidR="003B35DE">
        <w:rPr>
          <w:sz w:val="24"/>
          <w:szCs w:val="24"/>
        </w:rPr>
        <w:t>o município</w:t>
      </w:r>
      <w:r w:rsidRPr="00B224E4">
        <w:rPr>
          <w:sz w:val="24"/>
          <w:szCs w:val="24"/>
        </w:rPr>
        <w:t xml:space="preserve"> não realizava a fiscalização adequada dos valores declarados pelos contribuintes, adotando um sistema de lançamento baseado em valores fixados por decreto municipal, sem considerar o valor de mercado dos imóveis transmitidos.</w:t>
      </w:r>
    </w:p>
    <w:p w14:paraId="119C796D" w14:textId="5720655A" w:rsidR="006F1740" w:rsidRPr="00B224E4" w:rsidRDefault="006F1740" w:rsidP="006F1740">
      <w:pPr>
        <w:rPr>
          <w:sz w:val="24"/>
          <w:szCs w:val="24"/>
        </w:rPr>
      </w:pPr>
      <w:r w:rsidRPr="00CE017C">
        <w:rPr>
          <w:b/>
          <w:bCs/>
          <w:sz w:val="24"/>
          <w:szCs w:val="24"/>
        </w:rPr>
        <w:t>A legislação tributária exige que a base de cálculo do ITBI seja o valor venal do imóvel, o qual deve refletir o valor de mercado</w:t>
      </w:r>
      <w:r w:rsidRPr="00B224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Embora o </w:t>
      </w:r>
      <w:r w:rsidRPr="00B224E4">
        <w:rPr>
          <w:sz w:val="24"/>
          <w:szCs w:val="24"/>
        </w:rPr>
        <w:t>valor declarado pelo contribuinte goz</w:t>
      </w:r>
      <w:r>
        <w:rPr>
          <w:sz w:val="24"/>
          <w:szCs w:val="24"/>
        </w:rPr>
        <w:t>e</w:t>
      </w:r>
      <w:r w:rsidRPr="00B224E4">
        <w:rPr>
          <w:sz w:val="24"/>
          <w:szCs w:val="24"/>
        </w:rPr>
        <w:t xml:space="preserve"> de presunção de veracidade, </w:t>
      </w:r>
      <w:r w:rsidRPr="00CE017C">
        <w:rPr>
          <w:b/>
          <w:bCs/>
          <w:sz w:val="24"/>
          <w:szCs w:val="24"/>
        </w:rPr>
        <w:t>o município tem o dever de proceder à verificação desse valor</w:t>
      </w:r>
      <w:r w:rsidRPr="00B224E4">
        <w:rPr>
          <w:sz w:val="24"/>
          <w:szCs w:val="24"/>
        </w:rPr>
        <w:t xml:space="preserve">, especialmente em casos de dúvida ou indícios de </w:t>
      </w:r>
      <w:proofErr w:type="spellStart"/>
      <w:r w:rsidRPr="00B224E4">
        <w:rPr>
          <w:sz w:val="24"/>
          <w:szCs w:val="24"/>
        </w:rPr>
        <w:t>subdeclaração</w:t>
      </w:r>
      <w:proofErr w:type="spellEnd"/>
      <w:r w:rsidRPr="00B224E4">
        <w:rPr>
          <w:sz w:val="24"/>
          <w:szCs w:val="24"/>
        </w:rPr>
        <w:t xml:space="preserve">. </w:t>
      </w:r>
      <w:r w:rsidRPr="00CE017C">
        <w:rPr>
          <w:b/>
          <w:bCs/>
          <w:sz w:val="24"/>
          <w:szCs w:val="24"/>
        </w:rPr>
        <w:t>Se constatada qualquer divergência entre o valor declarado e o valor de mercado, é responsabilidade da administração instaurar processo administrativo para realizar</w:t>
      </w:r>
      <w:r w:rsidR="003B35DE">
        <w:rPr>
          <w:b/>
          <w:bCs/>
          <w:sz w:val="24"/>
          <w:szCs w:val="24"/>
        </w:rPr>
        <w:t xml:space="preserve"> o</w:t>
      </w:r>
      <w:r w:rsidRPr="00CE017C">
        <w:rPr>
          <w:b/>
          <w:bCs/>
          <w:sz w:val="24"/>
          <w:szCs w:val="24"/>
        </w:rPr>
        <w:t xml:space="preserve"> arbitramento do valor venal</w:t>
      </w:r>
      <w:r w:rsidRPr="00B224E4">
        <w:rPr>
          <w:sz w:val="24"/>
          <w:szCs w:val="24"/>
        </w:rPr>
        <w:t xml:space="preserve">, nos termos do art. 148 do </w:t>
      </w:r>
      <w:r w:rsidR="003B35DE">
        <w:rPr>
          <w:sz w:val="24"/>
          <w:szCs w:val="24"/>
        </w:rPr>
        <w:t>Código Tributário Nacional (</w:t>
      </w:r>
      <w:r w:rsidRPr="00B224E4">
        <w:rPr>
          <w:sz w:val="24"/>
          <w:szCs w:val="24"/>
        </w:rPr>
        <w:t>CTN</w:t>
      </w:r>
      <w:r w:rsidR="003B35DE">
        <w:rPr>
          <w:sz w:val="24"/>
          <w:szCs w:val="24"/>
        </w:rPr>
        <w:t>)</w:t>
      </w:r>
      <w:r w:rsidRPr="00B224E4">
        <w:rPr>
          <w:sz w:val="24"/>
          <w:szCs w:val="24"/>
        </w:rPr>
        <w:t>, garantindo ao contribuinte o contraditório e a ampla defesa.</w:t>
      </w:r>
    </w:p>
    <w:p w14:paraId="3AEAFC93" w14:textId="10DD091C" w:rsidR="006F1740" w:rsidRDefault="006F1740" w:rsidP="006F1740">
      <w:pPr>
        <w:rPr>
          <w:sz w:val="24"/>
          <w:szCs w:val="24"/>
        </w:rPr>
      </w:pPr>
      <w:r w:rsidRPr="00B224E4">
        <w:rPr>
          <w:sz w:val="24"/>
          <w:szCs w:val="24"/>
        </w:rPr>
        <w:t>No caso analisado, foi identificado que a administração não realizava esse controle de forma adequada. Em vez de promover a fiscalização dos valores declarados pelos contribuintes, o município adotava um procedimento automático, baseado em uma tabela de valores de referência</w:t>
      </w:r>
      <w:r>
        <w:rPr>
          <w:sz w:val="24"/>
          <w:szCs w:val="24"/>
        </w:rPr>
        <w:t>,</w:t>
      </w:r>
      <w:r w:rsidRPr="00B224E4">
        <w:rPr>
          <w:sz w:val="24"/>
          <w:szCs w:val="24"/>
        </w:rPr>
        <w:t xml:space="preserve"> prevista no Decreto Municipal 6.358/2023. </w:t>
      </w:r>
    </w:p>
    <w:p w14:paraId="63E87329" w14:textId="77777777" w:rsidR="006F1740" w:rsidRDefault="006F1740" w:rsidP="006F1740">
      <w:pPr>
        <w:rPr>
          <w:sz w:val="24"/>
          <w:szCs w:val="24"/>
        </w:rPr>
      </w:pPr>
      <w:r>
        <w:rPr>
          <w:sz w:val="24"/>
          <w:szCs w:val="24"/>
        </w:rPr>
        <w:t>A conduta foi</w:t>
      </w:r>
      <w:r w:rsidRPr="00B224E4">
        <w:rPr>
          <w:sz w:val="24"/>
          <w:szCs w:val="24"/>
        </w:rPr>
        <w:t xml:space="preserve"> considerad</w:t>
      </w:r>
      <w:r>
        <w:rPr>
          <w:sz w:val="24"/>
          <w:szCs w:val="24"/>
        </w:rPr>
        <w:t>a</w:t>
      </w:r>
      <w:r w:rsidRPr="00B224E4">
        <w:rPr>
          <w:sz w:val="24"/>
          <w:szCs w:val="24"/>
        </w:rPr>
        <w:t xml:space="preserve"> irregular, uma vez que, conforme entendimento consolidado do Superior Tribunal de Justiça (STJ)</w:t>
      </w:r>
      <w:r>
        <w:rPr>
          <w:sz w:val="24"/>
          <w:szCs w:val="24"/>
        </w:rPr>
        <w:t xml:space="preserve"> no Recurso Especial</w:t>
      </w:r>
      <w:r w:rsidRPr="0017631E">
        <w:rPr>
          <w:sz w:val="24"/>
          <w:szCs w:val="24"/>
        </w:rPr>
        <w:t xml:space="preserve"> n. 1.937.821/SP</w:t>
      </w:r>
      <w:r w:rsidRPr="00B224E4">
        <w:rPr>
          <w:sz w:val="24"/>
          <w:szCs w:val="24"/>
        </w:rPr>
        <w:t>, o município não pode fixar previamente a base de cálculo do ITBI com respaldo em valores estabelecidos unilateralmente, sem a devida verificação do valor de mercado do imóvel transmitido.</w:t>
      </w:r>
    </w:p>
    <w:p w14:paraId="6796CAFA" w14:textId="25F38538" w:rsidR="006F1740" w:rsidRPr="00B224E4" w:rsidRDefault="006F1740" w:rsidP="006F1740">
      <w:pPr>
        <w:rPr>
          <w:sz w:val="24"/>
          <w:szCs w:val="24"/>
        </w:rPr>
      </w:pPr>
      <w:r w:rsidRPr="00B224E4">
        <w:rPr>
          <w:sz w:val="24"/>
          <w:szCs w:val="24"/>
        </w:rPr>
        <w:t xml:space="preserve">Diante dessa análise, o Tribunal </w:t>
      </w:r>
      <w:r w:rsidRPr="00CE017C">
        <w:rPr>
          <w:b/>
          <w:bCs/>
          <w:sz w:val="24"/>
          <w:szCs w:val="24"/>
        </w:rPr>
        <w:t>determinou</w:t>
      </w:r>
      <w:r w:rsidRPr="00B224E4">
        <w:rPr>
          <w:sz w:val="24"/>
          <w:szCs w:val="24"/>
        </w:rPr>
        <w:t xml:space="preserve"> que a </w:t>
      </w:r>
      <w:r w:rsidR="003B35DE">
        <w:rPr>
          <w:sz w:val="24"/>
          <w:szCs w:val="24"/>
        </w:rPr>
        <w:t>prefeitura</w:t>
      </w:r>
      <w:r w:rsidRPr="00B224E4">
        <w:rPr>
          <w:sz w:val="24"/>
          <w:szCs w:val="24"/>
        </w:rPr>
        <w:t xml:space="preserve"> regularize a situação até o final de 2024, implementando um </w:t>
      </w:r>
      <w:r w:rsidRPr="003B35DE">
        <w:rPr>
          <w:b/>
          <w:bCs/>
          <w:sz w:val="24"/>
          <w:szCs w:val="24"/>
        </w:rPr>
        <w:t>sistema de fiscalização eficaz do ITBI</w:t>
      </w:r>
      <w:r w:rsidRPr="00B224E4">
        <w:rPr>
          <w:sz w:val="24"/>
          <w:szCs w:val="24"/>
        </w:rPr>
        <w:t xml:space="preserve">, que inclua a declaração do contribuinte sobre o valor da transação, a avaliação do valor venal com base em critérios técnicos que considerem as condições reais de mercado e que assegure ao contribuinte a oportunidade de apresentar defesa em caso de divergências. O município deve também </w:t>
      </w:r>
      <w:r w:rsidRPr="003B35DE">
        <w:rPr>
          <w:b/>
          <w:bCs/>
          <w:sz w:val="24"/>
          <w:szCs w:val="24"/>
        </w:rPr>
        <w:t>abster-se de utilizar tabelas de referência unilaterais</w:t>
      </w:r>
      <w:r w:rsidRPr="00B224E4">
        <w:rPr>
          <w:sz w:val="24"/>
          <w:szCs w:val="24"/>
        </w:rPr>
        <w:t>, que não permitam a verificação individualizada dos imóveis.</w:t>
      </w:r>
    </w:p>
    <w:p w14:paraId="1EF5C5EB" w14:textId="77777777" w:rsidR="006F1740" w:rsidRPr="00B224E4" w:rsidRDefault="006F1740" w:rsidP="006F1740">
      <w:pPr>
        <w:rPr>
          <w:sz w:val="24"/>
          <w:szCs w:val="24"/>
        </w:rPr>
      </w:pPr>
      <w:r w:rsidRPr="00B224E4">
        <w:rPr>
          <w:sz w:val="24"/>
          <w:szCs w:val="24"/>
        </w:rPr>
        <w:t xml:space="preserve">Além disso, foi </w:t>
      </w:r>
      <w:r w:rsidRPr="003B35DE">
        <w:rPr>
          <w:b/>
          <w:bCs/>
          <w:sz w:val="24"/>
          <w:szCs w:val="24"/>
        </w:rPr>
        <w:t>recomendada a priorização de recursos</w:t>
      </w:r>
      <w:r w:rsidRPr="00B224E4">
        <w:rPr>
          <w:sz w:val="24"/>
          <w:szCs w:val="24"/>
        </w:rPr>
        <w:t xml:space="preserve"> para que a administração tributária municipal seja dotada de meios adequados para realizar a inspeção e avaliação dos imóveis, como a disponibilização de veículos para inspeção e a capacitação dos servidores responsáveis pela fiscalização.</w:t>
      </w:r>
    </w:p>
    <w:p w14:paraId="55B68DD4" w14:textId="77777777" w:rsidR="006F1740" w:rsidRPr="004E7708" w:rsidRDefault="006F1740" w:rsidP="006F1740">
      <w:pPr>
        <w:rPr>
          <w:sz w:val="24"/>
          <w:szCs w:val="24"/>
        </w:rPr>
      </w:pPr>
      <w:hyperlink r:id="rId16" w:history="1">
        <w:r w:rsidRPr="004E7708">
          <w:rPr>
            <w:rStyle w:val="Hyperlink"/>
            <w:sz w:val="24"/>
            <w:szCs w:val="24"/>
          </w:rPr>
          <w:t>Acórdão TC 838/2023</w:t>
        </w:r>
      </w:hyperlink>
      <w:r>
        <w:rPr>
          <w:sz w:val="24"/>
          <w:szCs w:val="24"/>
        </w:rPr>
        <w:t>, Processo TC 5535/2023, relator conselheiro Sebastião Carlos Ranna de Macedo, publicado em 12/08/2024.</w:t>
      </w:r>
    </w:p>
    <w:p w14:paraId="35EABB7E" w14:textId="447835B9" w:rsidR="004B62C0" w:rsidRDefault="00732179" w:rsidP="004B62C0">
      <w:pPr>
        <w:pStyle w:val="Ttulo2"/>
      </w:pPr>
      <w:bookmarkStart w:id="8" w:name="_Toc179303503"/>
      <w:r>
        <w:t xml:space="preserve">10. </w:t>
      </w:r>
      <w:r w:rsidR="004B62C0">
        <w:t xml:space="preserve">PREVIDÊNCIA. APOSENTADORIA. ADICIONAL DE INSALUBRIDADE. O adicional de insalubridade não deve ser incorporado aos proventos de aposentadoria por se tratar de verba transitória, devida somente enquanto mantidas as condições especiais para desenvolvimento do serviço, sobre a qual não </w:t>
      </w:r>
      <w:r w:rsidR="0039748D">
        <w:t>incide</w:t>
      </w:r>
      <w:r w:rsidR="004B62C0">
        <w:t xml:space="preserve"> contribuição previdenciária</w:t>
      </w:r>
      <w:r w:rsidR="0039748D">
        <w:t>,</w:t>
      </w:r>
      <w:r w:rsidR="004B62C0">
        <w:t xml:space="preserve"> nos termos da tese fixada no Tema de Repercussão Geral 163 do Supremo Tribunal Federal (STF).</w:t>
      </w:r>
      <w:bookmarkEnd w:id="8"/>
    </w:p>
    <w:p w14:paraId="092794E3" w14:textId="77777777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 xml:space="preserve">Trata-se análise da análise da regularidade de </w:t>
      </w:r>
      <w:r w:rsidRPr="005D151E">
        <w:rPr>
          <w:b/>
          <w:bCs/>
          <w:sz w:val="24"/>
          <w:szCs w:val="24"/>
        </w:rPr>
        <w:t>pensão por morte</w:t>
      </w:r>
      <w:r w:rsidRPr="005D151E">
        <w:rPr>
          <w:sz w:val="24"/>
          <w:szCs w:val="24"/>
        </w:rPr>
        <w:t xml:space="preserve"> concedida pelo Instituto de Previdência de Vila Velha (IPVV), encaminhada à apreciação do Tribunal de Contas do Estado do Espírito Santo (TCEES) para fins de registro.</w:t>
      </w:r>
    </w:p>
    <w:p w14:paraId="4E878036" w14:textId="680F821D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 xml:space="preserve">O Ministério Público de Contas (MPC) se manifestou pela </w:t>
      </w:r>
      <w:r w:rsidRPr="005D151E">
        <w:rPr>
          <w:b/>
          <w:bCs/>
          <w:sz w:val="24"/>
          <w:szCs w:val="24"/>
        </w:rPr>
        <w:t>denegação do registro da pensão</w:t>
      </w:r>
      <w:r w:rsidRPr="005D151E">
        <w:rPr>
          <w:sz w:val="24"/>
          <w:szCs w:val="24"/>
        </w:rPr>
        <w:t xml:space="preserve">, apontando </w:t>
      </w:r>
      <w:r w:rsidRPr="005D151E">
        <w:rPr>
          <w:b/>
          <w:bCs/>
          <w:sz w:val="24"/>
          <w:szCs w:val="24"/>
        </w:rPr>
        <w:t>irregularidade no cálculo do benefício em razão da inclusão da parcela “Insalubridade”</w:t>
      </w:r>
      <w:r w:rsidRPr="005D151E">
        <w:rPr>
          <w:sz w:val="24"/>
          <w:szCs w:val="24"/>
        </w:rPr>
        <w:t>, acrescentada aos proventos da aposentadoria que lhe deu origem sem o exame de legalidade desta Corte.</w:t>
      </w:r>
    </w:p>
    <w:p w14:paraId="3F4E76DA" w14:textId="6AFD7CAA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>O conselheiro relator verificou que, de fato, para registro do ato de pensão, o IPVV apresentou planilha na qual consta</w:t>
      </w:r>
      <w:r w:rsidR="00942B1E">
        <w:rPr>
          <w:sz w:val="24"/>
          <w:szCs w:val="24"/>
        </w:rPr>
        <w:t>va</w:t>
      </w:r>
      <w:r w:rsidRPr="005D151E">
        <w:rPr>
          <w:sz w:val="24"/>
          <w:szCs w:val="24"/>
        </w:rPr>
        <w:t xml:space="preserve"> a parcela de “Insalubridade”, divergindo do que fo</w:t>
      </w:r>
      <w:r w:rsidR="00942B1E">
        <w:rPr>
          <w:sz w:val="24"/>
          <w:szCs w:val="24"/>
        </w:rPr>
        <w:t xml:space="preserve">ra </w:t>
      </w:r>
      <w:r w:rsidRPr="005D151E">
        <w:rPr>
          <w:sz w:val="24"/>
          <w:szCs w:val="24"/>
        </w:rPr>
        <w:t>apresentado à época do registro da aposentadoria.</w:t>
      </w:r>
    </w:p>
    <w:p w14:paraId="40325DDD" w14:textId="77777777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 xml:space="preserve">Sobre esse acréscimo, pontuou que </w:t>
      </w:r>
      <w:r w:rsidRPr="00942B1E">
        <w:rPr>
          <w:b/>
          <w:bCs/>
          <w:sz w:val="24"/>
          <w:szCs w:val="24"/>
        </w:rPr>
        <w:t>o adicional de insalubridade tem natureza transitória, sendo devido apenas enquanto mantidas as condições especiais para o desenvolvimento do serviço, não se afigurando legítima a sua incorporação aos proventos de aposentadoria e, portanto, não podendo esse compor o valor base para o cálculo de pensão por morte</w:t>
      </w:r>
      <w:r w:rsidRPr="005D151E">
        <w:rPr>
          <w:sz w:val="24"/>
          <w:szCs w:val="24"/>
        </w:rPr>
        <w:t xml:space="preserve">. </w:t>
      </w:r>
    </w:p>
    <w:p w14:paraId="6747CADD" w14:textId="2FFD5B8F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 xml:space="preserve">Colacionou nesse sentido a tese fixada pelo Supremo Tribunal Federal (STF) no tema de repercussão geral </w:t>
      </w:r>
      <w:r w:rsidR="00942B1E">
        <w:rPr>
          <w:sz w:val="24"/>
          <w:szCs w:val="24"/>
        </w:rPr>
        <w:t xml:space="preserve">nº </w:t>
      </w:r>
      <w:r w:rsidRPr="005D151E">
        <w:rPr>
          <w:sz w:val="24"/>
          <w:szCs w:val="24"/>
        </w:rPr>
        <w:t xml:space="preserve">163, por ocasião do julgamento do </w:t>
      </w:r>
      <w:r w:rsidR="00942B1E">
        <w:rPr>
          <w:sz w:val="24"/>
          <w:szCs w:val="24"/>
        </w:rPr>
        <w:t>R</w:t>
      </w:r>
      <w:r w:rsidRPr="005D151E">
        <w:rPr>
          <w:sz w:val="24"/>
          <w:szCs w:val="24"/>
        </w:rPr>
        <w:t xml:space="preserve">ecurso </w:t>
      </w:r>
      <w:r w:rsidR="00942B1E">
        <w:rPr>
          <w:sz w:val="24"/>
          <w:szCs w:val="24"/>
        </w:rPr>
        <w:t>E</w:t>
      </w:r>
      <w:r w:rsidRPr="005D151E">
        <w:rPr>
          <w:sz w:val="24"/>
          <w:szCs w:val="24"/>
        </w:rPr>
        <w:t xml:space="preserve">xtraordinário (RE) 593.068, publicado em 22 de março de 2019: “Não incide contribuição previdenciária sobre verba não incorporável aos proventos de aposentadoria do servidor público, tais como terço de férias, serviços extraordinários, adicional noturno e </w:t>
      </w:r>
      <w:r w:rsidRPr="005D151E">
        <w:rPr>
          <w:b/>
          <w:bCs/>
          <w:sz w:val="24"/>
          <w:szCs w:val="24"/>
        </w:rPr>
        <w:t>adicional de insalubridade</w:t>
      </w:r>
      <w:r w:rsidRPr="005D151E">
        <w:rPr>
          <w:sz w:val="24"/>
          <w:szCs w:val="24"/>
        </w:rPr>
        <w:t>”. (g.n)</w:t>
      </w:r>
    </w:p>
    <w:p w14:paraId="483E697C" w14:textId="77777777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>Dessa forma, afirmou que a inclusão, no valor da pensão, de parcela referente ao adicional de insalubridade não está em conformidade com a legislação. Assim, votou por determinar a reabertura da instrução processual e a notificação do instituto de previdência para, no prazo de trinta dias, manifestar-se sobre a não conformidade apontada.</w:t>
      </w:r>
    </w:p>
    <w:p w14:paraId="1D6194CA" w14:textId="10BB39D9" w:rsidR="004B62C0" w:rsidRPr="005D151E" w:rsidRDefault="004B62C0" w:rsidP="004B62C0">
      <w:pPr>
        <w:rPr>
          <w:sz w:val="24"/>
          <w:szCs w:val="24"/>
        </w:rPr>
      </w:pPr>
      <w:r w:rsidRPr="005D151E">
        <w:rPr>
          <w:sz w:val="24"/>
          <w:szCs w:val="24"/>
        </w:rPr>
        <w:t xml:space="preserve">A Primeira Câmara do TCEES, deliberou, à unanimidade, conforme o voto do relator. </w:t>
      </w:r>
      <w:hyperlink r:id="rId17" w:history="1">
        <w:r w:rsidRPr="00732179">
          <w:rPr>
            <w:rStyle w:val="Hyperlink"/>
            <w:sz w:val="24"/>
            <w:szCs w:val="24"/>
          </w:rPr>
          <w:t>Decisão TC 2188/2024</w:t>
        </w:r>
      </w:hyperlink>
      <w:r w:rsidRPr="005D151E">
        <w:rPr>
          <w:sz w:val="24"/>
          <w:szCs w:val="24"/>
        </w:rPr>
        <w:t>, Processo TC 16551/2019, relator conselheiro substituto Donato Volkers Moutinho, publicado em 31/07/2024.</w:t>
      </w:r>
    </w:p>
    <w:p w14:paraId="576BE677" w14:textId="6F7BABFC" w:rsidR="006F1740" w:rsidRPr="00393D0D" w:rsidRDefault="00732179" w:rsidP="006F1740">
      <w:pPr>
        <w:pStyle w:val="Ttulo2"/>
      </w:pPr>
      <w:bookmarkStart w:id="9" w:name="_Toc179303504"/>
      <w:r>
        <w:t xml:space="preserve">11. </w:t>
      </w:r>
      <w:r w:rsidR="006F1740" w:rsidRPr="00393D0D">
        <w:t>PESSOAL. EDITAL DE CONCURSO PÚBLICO. ALTERAÇÃO. POSSIBILIDADE. É possível a alteração do edital no decorrer do concurso, desde que</w:t>
      </w:r>
      <w:r w:rsidR="006F1740">
        <w:t xml:space="preserve"> </w:t>
      </w:r>
      <w:r w:rsidR="006F1740" w:rsidRPr="00393D0D">
        <w:t xml:space="preserve">(i) </w:t>
      </w:r>
      <w:r w:rsidR="006F1740">
        <w:t xml:space="preserve">para </w:t>
      </w:r>
      <w:r w:rsidR="006F1740" w:rsidRPr="00393D0D">
        <w:t xml:space="preserve">correção de erro material ou alteração </w:t>
      </w:r>
      <w:r w:rsidR="004E6A19">
        <w:t>na</w:t>
      </w:r>
      <w:r w:rsidR="006F1740" w:rsidRPr="00393D0D">
        <w:t xml:space="preserve"> legislação que disciplina a carreira; (</w:t>
      </w:r>
      <w:proofErr w:type="spellStart"/>
      <w:r w:rsidR="006F1740" w:rsidRPr="00393D0D">
        <w:t>ii</w:t>
      </w:r>
      <w:proofErr w:type="spellEnd"/>
      <w:r w:rsidR="006F1740" w:rsidRPr="00393D0D">
        <w:t xml:space="preserve">) realizada anteriormente à </w:t>
      </w:r>
      <w:r w:rsidR="0069235B">
        <w:t xml:space="preserve">sua </w:t>
      </w:r>
      <w:r w:rsidR="006F1740" w:rsidRPr="00393D0D">
        <w:t>homologação.</w:t>
      </w:r>
      <w:bookmarkEnd w:id="9"/>
    </w:p>
    <w:p w14:paraId="61754503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Trata-se de edital de concurso público para provimento do quadro de servidores da Prefeitura Municipal de Irupi, encaminhado ao TCEES para </w:t>
      </w:r>
      <w:r w:rsidRPr="00393D0D">
        <w:rPr>
          <w:b/>
          <w:bCs/>
          <w:sz w:val="24"/>
          <w:szCs w:val="24"/>
        </w:rPr>
        <w:t>verificação de sua regularidade e dos atos de admissão de pessoal dele decorrentes.</w:t>
      </w:r>
    </w:p>
    <w:p w14:paraId="6AE55F80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Na análise dos autos, a área técnica deste Tribunal de Contas constatou irregularidade no edital, vez que havia </w:t>
      </w:r>
      <w:r w:rsidRPr="00393D0D">
        <w:rPr>
          <w:b/>
          <w:bCs/>
          <w:sz w:val="24"/>
          <w:szCs w:val="24"/>
        </w:rPr>
        <w:t>exigência de formação acadêmica diversa da prevista em lei municipal</w:t>
      </w:r>
      <w:r w:rsidRPr="00393D0D">
        <w:rPr>
          <w:sz w:val="24"/>
          <w:szCs w:val="24"/>
        </w:rPr>
        <w:t xml:space="preserve"> para os cargos de técnico em vigilância epidemiológica, técnico em vigilância sanitária e de coveiro.</w:t>
      </w:r>
    </w:p>
    <w:p w14:paraId="7C8DA26A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>Ao ser notificado, o município adotou medidas corretivas necessárias para corrigir a situação, publicando retificação do edital, objetivando alterar os requisitos para provimento dos cargos, adequando-os à lei municipal vigente.</w:t>
      </w:r>
    </w:p>
    <w:p w14:paraId="609CB285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>Posteriormente, alegando dificuldade em encontrar profissionais no mercado de trabalho com a nova escolaridade exigida, promoveu a alteração da lei municipal para modificar o requisito de provimento nos cargos. Com isso, o município publicou nova retificação do edital para adequá-lo à referida alteração legislativa.</w:t>
      </w:r>
    </w:p>
    <w:p w14:paraId="76797573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Em análise conclusiva, a unidade técnica desta Corte entendeu ser </w:t>
      </w:r>
      <w:r w:rsidRPr="00393D0D">
        <w:rPr>
          <w:b/>
          <w:bCs/>
          <w:sz w:val="24"/>
          <w:szCs w:val="24"/>
        </w:rPr>
        <w:t>inadequada a adoção dessas ações após o encerramento das inscrições e a realização das provas</w:t>
      </w:r>
      <w:r w:rsidRPr="00393D0D">
        <w:rPr>
          <w:sz w:val="24"/>
          <w:szCs w:val="24"/>
        </w:rPr>
        <w:t xml:space="preserve">, pois o certame teria transcorrido com divergência entre as exigências editalícias e a legislação então vigente. </w:t>
      </w:r>
    </w:p>
    <w:p w14:paraId="2C9BB484" w14:textId="6AFC82FD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Contudo, em seu voto, o conselheiro relator apontou que o entendimento pacificado do Supremo Tribunal Federal (STF) </w:t>
      </w:r>
      <w:r w:rsidRPr="00393D0D">
        <w:rPr>
          <w:b/>
          <w:bCs/>
          <w:sz w:val="24"/>
          <w:szCs w:val="24"/>
        </w:rPr>
        <w:t>admit</w:t>
      </w:r>
      <w:r w:rsidR="004E6A19">
        <w:rPr>
          <w:b/>
          <w:bCs/>
          <w:sz w:val="24"/>
          <w:szCs w:val="24"/>
        </w:rPr>
        <w:t>e</w:t>
      </w:r>
      <w:r w:rsidRPr="00393D0D">
        <w:rPr>
          <w:b/>
          <w:bCs/>
          <w:sz w:val="24"/>
          <w:szCs w:val="24"/>
        </w:rPr>
        <w:t xml:space="preserve"> a alteração das regras do concurso, mesmo após a publicação do edital e durante o curso do certame, caso haja modificação na legislação que disciplina a respectiva carreira ou para sanar erros materiais</w:t>
      </w:r>
      <w:r w:rsidRPr="00393D0D">
        <w:rPr>
          <w:sz w:val="24"/>
          <w:szCs w:val="24"/>
        </w:rPr>
        <w:t>.</w:t>
      </w:r>
    </w:p>
    <w:p w14:paraId="6C68E99E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Com base na jurisprudência do Supremo, asseverou que, antes do provimento do cargo, o candidato tem mera expectativa de direito à nomeação, de modo que </w:t>
      </w:r>
      <w:r w:rsidRPr="00393D0D">
        <w:rPr>
          <w:b/>
          <w:bCs/>
          <w:sz w:val="24"/>
          <w:szCs w:val="24"/>
        </w:rPr>
        <w:t>é possível a alteração do edital no decorrer do concurso, desde que preenchidos os requisitos: (i) correção de erro material ou alteração decorrente de legislação que disciplina a carreira; (</w:t>
      </w:r>
      <w:proofErr w:type="spellStart"/>
      <w:r w:rsidRPr="00393D0D">
        <w:rPr>
          <w:b/>
          <w:bCs/>
          <w:sz w:val="24"/>
          <w:szCs w:val="24"/>
        </w:rPr>
        <w:t>ii</w:t>
      </w:r>
      <w:proofErr w:type="spellEnd"/>
      <w:r w:rsidRPr="00393D0D">
        <w:rPr>
          <w:b/>
          <w:bCs/>
          <w:sz w:val="24"/>
          <w:szCs w:val="24"/>
        </w:rPr>
        <w:t>) seja realizada anteriormente à homologação do concurso</w:t>
      </w:r>
      <w:r w:rsidRPr="00393D0D">
        <w:rPr>
          <w:sz w:val="24"/>
          <w:szCs w:val="24"/>
        </w:rPr>
        <w:t>.</w:t>
      </w:r>
    </w:p>
    <w:p w14:paraId="0FD73F0C" w14:textId="6C979784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Em relação ao caso em exame, observou que a primeira ratificação ocorreu para correção de erro material, enquanto a segunda teve por intuito adequar-se </w:t>
      </w:r>
      <w:r w:rsidR="004E6A19">
        <w:rPr>
          <w:sz w:val="24"/>
          <w:szCs w:val="24"/>
        </w:rPr>
        <w:t>à</w:t>
      </w:r>
      <w:r w:rsidRPr="00393D0D">
        <w:rPr>
          <w:sz w:val="24"/>
          <w:szCs w:val="24"/>
        </w:rPr>
        <w:t xml:space="preserve"> alteração da lei, preenchendo o primeiro requisito. Pontuou, também, que ambas as retificações foram anteriores à homologação do concurso, preenchendo, dessa forma, o segundo requisito.</w:t>
      </w:r>
    </w:p>
    <w:p w14:paraId="4F9A7185" w14:textId="77777777" w:rsidR="006F1740" w:rsidRPr="00393D0D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Ante o exposto, o conselheiro apresentou voto opinando por </w:t>
      </w:r>
      <w:r w:rsidRPr="00393D0D">
        <w:rPr>
          <w:b/>
          <w:bCs/>
          <w:sz w:val="24"/>
          <w:szCs w:val="24"/>
        </w:rPr>
        <w:t>considerar regulares os requisitos legais</w:t>
      </w:r>
      <w:r w:rsidRPr="00393D0D">
        <w:rPr>
          <w:sz w:val="24"/>
          <w:szCs w:val="24"/>
        </w:rPr>
        <w:t xml:space="preserve"> do certame.</w:t>
      </w:r>
    </w:p>
    <w:p w14:paraId="7301E410" w14:textId="77777777" w:rsidR="006F1740" w:rsidRDefault="006F1740" w:rsidP="006F1740">
      <w:pPr>
        <w:rPr>
          <w:sz w:val="24"/>
          <w:szCs w:val="24"/>
        </w:rPr>
      </w:pPr>
      <w:r w:rsidRPr="00393D0D">
        <w:rPr>
          <w:sz w:val="24"/>
          <w:szCs w:val="24"/>
        </w:rPr>
        <w:t xml:space="preserve">A Primeira Câmara deliberou, à unanimidade, nos termos do voto apresentado. </w:t>
      </w:r>
      <w:hyperlink r:id="rId18">
        <w:r w:rsidRPr="00393D0D">
          <w:rPr>
            <w:rStyle w:val="Hyperlink"/>
            <w:sz w:val="24"/>
            <w:szCs w:val="24"/>
          </w:rPr>
          <w:t>Decisão TC-02387/2024</w:t>
        </w:r>
      </w:hyperlink>
      <w:r w:rsidRPr="00393D0D">
        <w:rPr>
          <w:sz w:val="24"/>
          <w:szCs w:val="24"/>
        </w:rPr>
        <w:t>, Processo TC-1448/2024, relator conselheiro substituto Donato Volkers Moutinho, publicado em 15/08/2024.</w:t>
      </w:r>
    </w:p>
    <w:p w14:paraId="240ADD9B" w14:textId="6538AE6B" w:rsidR="006F1740" w:rsidRPr="00757549" w:rsidRDefault="00732179" w:rsidP="006F1740">
      <w:pPr>
        <w:pStyle w:val="Ttulo2"/>
      </w:pPr>
      <w:bookmarkStart w:id="10" w:name="_Toc179303505"/>
      <w:r>
        <w:t xml:space="preserve">12. </w:t>
      </w:r>
      <w:r w:rsidR="006F1740">
        <w:t xml:space="preserve">PESSOAL. EDITAL DE CONCURSO PÚBLICO. RESERVA DE VAGA. PESSOA COM DEFIFICÊNCIA (PCD). LEGISLAÇÃO. </w:t>
      </w:r>
      <w:r w:rsidR="006F1740" w:rsidRPr="00757549">
        <w:t>A legislação federal sobre a reserva de vagas para pessoas com deficiência pode ser aplicada</w:t>
      </w:r>
      <w:r w:rsidR="006F1740">
        <w:t xml:space="preserve"> </w:t>
      </w:r>
      <w:r w:rsidR="006F1740" w:rsidRPr="00757549">
        <w:t>supletivamente na ausência de regulamentação específica pelo ente federativo, devendo prevalecer a legislação local quando esta estabelecer percentual próprio.</w:t>
      </w:r>
      <w:bookmarkEnd w:id="10"/>
    </w:p>
    <w:p w14:paraId="4FE440AD" w14:textId="04AFF412" w:rsidR="006F1740" w:rsidRDefault="005C50BD" w:rsidP="006F1740">
      <w:pPr>
        <w:rPr>
          <w:sz w:val="24"/>
        </w:rPr>
      </w:pPr>
      <w:r>
        <w:rPr>
          <w:sz w:val="24"/>
        </w:rPr>
        <w:t xml:space="preserve">A Primeira Câmara do </w:t>
      </w:r>
      <w:r w:rsidR="006F1740" w:rsidRPr="00FC688F">
        <w:rPr>
          <w:sz w:val="24"/>
        </w:rPr>
        <w:t xml:space="preserve">Tribunal de Contas do Estado do Espírito Santo (TCEES) analisou a regularidade de concurso público realizado pela Câmara Municipal de Vila Velha (CMVV), </w:t>
      </w:r>
      <w:r w:rsidR="00502878">
        <w:rPr>
          <w:sz w:val="24"/>
        </w:rPr>
        <w:t>regido pelo</w:t>
      </w:r>
      <w:r w:rsidR="006F1740" w:rsidRPr="00FC688F">
        <w:rPr>
          <w:sz w:val="24"/>
        </w:rPr>
        <w:t xml:space="preserve"> Edital 1/2020. </w:t>
      </w:r>
      <w:r w:rsidR="00502878">
        <w:rPr>
          <w:sz w:val="24"/>
        </w:rPr>
        <w:t xml:space="preserve">O setor técnico desta Corte apontou irregularidade </w:t>
      </w:r>
      <w:r w:rsidR="00502878" w:rsidRPr="00502878">
        <w:rPr>
          <w:sz w:val="24"/>
        </w:rPr>
        <w:t>n</w:t>
      </w:r>
      <w:r w:rsidR="006F1740" w:rsidRPr="00502878">
        <w:rPr>
          <w:sz w:val="24"/>
        </w:rPr>
        <w:t xml:space="preserve">a </w:t>
      </w:r>
      <w:r w:rsidR="006F1740" w:rsidRPr="00502878">
        <w:rPr>
          <w:b/>
          <w:bCs/>
          <w:sz w:val="24"/>
        </w:rPr>
        <w:t>reserva de vagas para pessoas com deficiência (</w:t>
      </w:r>
      <w:proofErr w:type="spellStart"/>
      <w:r w:rsidR="006F1740" w:rsidRPr="00502878">
        <w:rPr>
          <w:b/>
          <w:bCs/>
          <w:sz w:val="24"/>
        </w:rPr>
        <w:t>PcD</w:t>
      </w:r>
      <w:proofErr w:type="spellEnd"/>
      <w:r w:rsidR="006F1740" w:rsidRPr="00502878">
        <w:rPr>
          <w:b/>
          <w:bCs/>
          <w:sz w:val="24"/>
        </w:rPr>
        <w:t>)</w:t>
      </w:r>
      <w:r w:rsidR="00502878" w:rsidRPr="00502878">
        <w:rPr>
          <w:b/>
          <w:bCs/>
          <w:sz w:val="24"/>
        </w:rPr>
        <w:t>.</w:t>
      </w:r>
    </w:p>
    <w:p w14:paraId="0291FDA0" w14:textId="59D95E8E" w:rsidR="006F1740" w:rsidRPr="00FC688F" w:rsidRDefault="006F1740" w:rsidP="006F1740">
      <w:pPr>
        <w:rPr>
          <w:sz w:val="24"/>
        </w:rPr>
      </w:pPr>
      <w:r w:rsidRPr="00FC688F">
        <w:rPr>
          <w:sz w:val="24"/>
        </w:rPr>
        <w:t xml:space="preserve">O conselheiro relator destacou que o art. 37, inciso VIII, da Constituição Federal de 1988 estabelece que a lei reservará percentual dos cargos e empregos públicos para pessoas com deficiência. </w:t>
      </w:r>
      <w:r w:rsidR="00502878">
        <w:rPr>
          <w:sz w:val="24"/>
        </w:rPr>
        <w:t>Nesse sentido, pontuou que</w:t>
      </w:r>
      <w:r w:rsidRPr="00FC688F">
        <w:rPr>
          <w:sz w:val="24"/>
        </w:rPr>
        <w:t xml:space="preserve"> a Lei 8.112/1990 e o Decreto 9.508/2018 regulamentam essa reserva no âmbito federal, estabelecendo percentuais </w:t>
      </w:r>
      <w:r w:rsidR="00502878">
        <w:rPr>
          <w:sz w:val="24"/>
        </w:rPr>
        <w:t xml:space="preserve">de até </w:t>
      </w:r>
      <w:r w:rsidRPr="00FC688F">
        <w:rPr>
          <w:sz w:val="24"/>
        </w:rPr>
        <w:t>20%</w:t>
      </w:r>
      <w:r w:rsidR="00502878">
        <w:rPr>
          <w:sz w:val="24"/>
        </w:rPr>
        <w:t>.</w:t>
      </w:r>
    </w:p>
    <w:p w14:paraId="0E5B36DA" w14:textId="0BE5D1E1" w:rsidR="005C50BD" w:rsidRDefault="006F1740" w:rsidP="006F1740">
      <w:pPr>
        <w:rPr>
          <w:sz w:val="24"/>
        </w:rPr>
      </w:pPr>
      <w:r>
        <w:rPr>
          <w:sz w:val="24"/>
        </w:rPr>
        <w:t>E</w:t>
      </w:r>
      <w:r w:rsidRPr="00FC688F">
        <w:rPr>
          <w:sz w:val="24"/>
        </w:rPr>
        <w:t xml:space="preserve">xplicou que </w:t>
      </w:r>
      <w:r w:rsidRPr="00FC688F">
        <w:rPr>
          <w:b/>
          <w:bCs/>
          <w:sz w:val="24"/>
        </w:rPr>
        <w:t>a legislação federal pode ser aplicada supletivamente quando o ente estadual ou municipal não possui regulamentação própria sobre a reserva de vagas para P</w:t>
      </w:r>
      <w:r w:rsidR="001F44EF">
        <w:rPr>
          <w:b/>
          <w:bCs/>
          <w:sz w:val="24"/>
        </w:rPr>
        <w:t>C</w:t>
      </w:r>
      <w:r w:rsidRPr="00FC688F">
        <w:rPr>
          <w:b/>
          <w:bCs/>
          <w:sz w:val="24"/>
        </w:rPr>
        <w:t>D</w:t>
      </w:r>
      <w:r w:rsidRPr="00FC688F">
        <w:rPr>
          <w:sz w:val="24"/>
        </w:rPr>
        <w:t xml:space="preserve">. No entanto, </w:t>
      </w:r>
      <w:r w:rsidRPr="00FC688F">
        <w:rPr>
          <w:b/>
          <w:bCs/>
          <w:sz w:val="24"/>
        </w:rPr>
        <w:t>se a legislação local definir um percentual específico, este deve ser observado, prevalecendo sobre a legislação federal</w:t>
      </w:r>
      <w:r w:rsidRPr="00FC688F">
        <w:rPr>
          <w:sz w:val="24"/>
        </w:rPr>
        <w:t xml:space="preserve">. </w:t>
      </w:r>
    </w:p>
    <w:p w14:paraId="094E5DFC" w14:textId="4EDD1B4F" w:rsidR="00940ACD" w:rsidRDefault="006F1740" w:rsidP="006F1740">
      <w:pPr>
        <w:rPr>
          <w:sz w:val="24"/>
        </w:rPr>
      </w:pPr>
      <w:r w:rsidRPr="00FC688F">
        <w:rPr>
          <w:sz w:val="24"/>
        </w:rPr>
        <w:t>No caso analisado, a legislação municipal de Vila Velha (Lei Complementar Municipal 6/2002) estabeleceu um percentual específico de 10% para a reserva de vagas para P</w:t>
      </w:r>
      <w:r w:rsidR="001F44EF">
        <w:rPr>
          <w:sz w:val="24"/>
        </w:rPr>
        <w:t>C</w:t>
      </w:r>
      <w:r w:rsidRPr="00FC688F">
        <w:rPr>
          <w:sz w:val="24"/>
        </w:rPr>
        <w:t>D nos concursos públicos municipais.</w:t>
      </w:r>
      <w:r w:rsidR="005C50BD">
        <w:rPr>
          <w:sz w:val="24"/>
        </w:rPr>
        <w:t xml:space="preserve"> </w:t>
      </w:r>
      <w:r w:rsidRPr="00FC688F">
        <w:rPr>
          <w:sz w:val="24"/>
        </w:rPr>
        <w:t>Concluiu-se</w:t>
      </w:r>
      <w:r w:rsidR="005C50BD">
        <w:rPr>
          <w:sz w:val="24"/>
        </w:rPr>
        <w:t>, portanto,</w:t>
      </w:r>
      <w:r w:rsidRPr="00FC688F">
        <w:rPr>
          <w:sz w:val="24"/>
        </w:rPr>
        <w:t xml:space="preserve"> que o critério adotado no edital </w:t>
      </w:r>
      <w:r w:rsidR="00502878">
        <w:rPr>
          <w:sz w:val="24"/>
        </w:rPr>
        <w:t>examinada</w:t>
      </w:r>
      <w:r w:rsidRPr="00FC688F">
        <w:rPr>
          <w:sz w:val="24"/>
        </w:rPr>
        <w:t xml:space="preserve"> estava em </w:t>
      </w:r>
      <w:r w:rsidRPr="00FC688F">
        <w:rPr>
          <w:b/>
          <w:bCs/>
          <w:sz w:val="24"/>
        </w:rPr>
        <w:t>conformidade com a legislação municipal</w:t>
      </w:r>
      <w:r w:rsidRPr="00FC688F">
        <w:rPr>
          <w:sz w:val="24"/>
        </w:rPr>
        <w:t>, prevalecendo a legislação local sobre a federal.</w:t>
      </w:r>
      <w:r w:rsidR="00940ACD">
        <w:rPr>
          <w:sz w:val="24"/>
        </w:rPr>
        <w:t xml:space="preserve"> </w:t>
      </w:r>
    </w:p>
    <w:p w14:paraId="7773B04A" w14:textId="0BD1C3BA" w:rsidR="006F1740" w:rsidRDefault="00940ACD" w:rsidP="006F1740">
      <w:pPr>
        <w:rPr>
          <w:sz w:val="24"/>
        </w:rPr>
      </w:pPr>
      <w:r>
        <w:rPr>
          <w:sz w:val="24"/>
        </w:rPr>
        <w:t>Nesses termos, votou por considerar cumpridos os requisitos legais do concurso público. A Primeira Câmara deliberou conforme o voto do relator à unanimidade.</w:t>
      </w:r>
    </w:p>
    <w:p w14:paraId="2C3F0B82" w14:textId="77777777" w:rsidR="006F1740" w:rsidRDefault="006F1740" w:rsidP="006F1740">
      <w:pPr>
        <w:rPr>
          <w:sz w:val="24"/>
        </w:rPr>
      </w:pPr>
      <w:hyperlink r:id="rId19" w:history="1">
        <w:r w:rsidRPr="006716BE">
          <w:rPr>
            <w:rStyle w:val="Hyperlink"/>
            <w:sz w:val="24"/>
          </w:rPr>
          <w:t>Decisão TC 2388/2024</w:t>
        </w:r>
      </w:hyperlink>
      <w:r>
        <w:rPr>
          <w:sz w:val="24"/>
        </w:rPr>
        <w:t>, Processo TC 7312/2023, relator conselheiro substituto Donato Volkers Moutinho, publicado em 15/08/2024.</w:t>
      </w:r>
    </w:p>
    <w:sectPr w:rsidR="006F1740" w:rsidSect="00994ACE">
      <w:headerReference w:type="default" r:id="rId20"/>
      <w:footerReference w:type="default" r:id="rId21"/>
      <w:type w:val="continuous"/>
      <w:pgSz w:w="11906" w:h="16838"/>
      <w:pgMar w:top="1985" w:right="1701" w:bottom="1560" w:left="1701" w:header="567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BB0E" w14:textId="77777777" w:rsidR="00B5431B" w:rsidRDefault="00B5431B" w:rsidP="001137C8">
      <w:pPr>
        <w:spacing w:after="0" w:line="240" w:lineRule="auto"/>
      </w:pPr>
      <w:r>
        <w:separator/>
      </w:r>
    </w:p>
  </w:endnote>
  <w:endnote w:type="continuationSeparator" w:id="0">
    <w:p w14:paraId="5B242BA8" w14:textId="77777777" w:rsidR="00B5431B" w:rsidRDefault="00B5431B" w:rsidP="0011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ll Gothic 300mg Th">
    <w:charset w:val="00"/>
    <w:family w:val="auto"/>
    <w:pitch w:val="variable"/>
    <w:sig w:usb0="8000002F" w:usb1="50004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6D99" w14:textId="5399ECB3" w:rsidR="004C0BB6" w:rsidRPr="004C0BB6" w:rsidRDefault="004C0BB6" w:rsidP="004C0BB6">
    <w:pPr>
      <w:pStyle w:val="Pargrafobsico"/>
      <w:jc w:val="right"/>
      <w:rPr>
        <w:rFonts w:asciiTheme="minorHAnsi" w:hAnsiTheme="minorHAnsi" w:cs="Pill Gothic 300mg Th"/>
        <w:sz w:val="22"/>
        <w:szCs w:val="22"/>
      </w:rPr>
    </w:pPr>
    <w:r w:rsidRPr="004C0BB6">
      <w:rPr>
        <w:rFonts w:asciiTheme="minorHAnsi" w:hAnsiTheme="minorHAnsi" w:cs="Pill Gothic 300mg Th"/>
        <w:color w:val="7F7F7F" w:themeColor="text1" w:themeTint="80"/>
        <w:sz w:val="22"/>
        <w:szCs w:val="22"/>
      </w:rPr>
      <w:t>Informat</w:t>
    </w:r>
    <w:r w:rsidR="00F741F8">
      <w:rPr>
        <w:rFonts w:asciiTheme="minorHAnsi" w:hAnsiTheme="minorHAnsi" w:cs="Pill Gothic 300mg Th"/>
        <w:color w:val="7F7F7F" w:themeColor="text1" w:themeTint="80"/>
        <w:sz w:val="22"/>
        <w:szCs w:val="22"/>
      </w:rPr>
      <w:t xml:space="preserve">ivo de Jurisprudência nº </w:t>
    </w:r>
    <w:proofErr w:type="gramStart"/>
    <w:r w:rsidR="00F741F8">
      <w:rPr>
        <w:rFonts w:asciiTheme="minorHAnsi" w:hAnsiTheme="minorHAnsi" w:cs="Pill Gothic 300mg Th"/>
        <w:color w:val="7F7F7F" w:themeColor="text1" w:themeTint="80"/>
        <w:sz w:val="22"/>
        <w:szCs w:val="22"/>
      </w:rPr>
      <w:t>1</w:t>
    </w:r>
    <w:r w:rsidR="004B62C0">
      <w:rPr>
        <w:rFonts w:asciiTheme="minorHAnsi" w:hAnsiTheme="minorHAnsi" w:cs="Pill Gothic 300mg Th"/>
        <w:color w:val="7F7F7F" w:themeColor="text1" w:themeTint="80"/>
        <w:sz w:val="22"/>
        <w:szCs w:val="22"/>
      </w:rPr>
      <w:t>32</w:t>
    </w:r>
    <w:r w:rsidRPr="004C0BB6">
      <w:rPr>
        <w:rFonts w:asciiTheme="minorHAnsi" w:hAnsiTheme="minorHAnsi" w:cs="Pill Gothic 300mg Th"/>
        <w:color w:val="7F7F7F" w:themeColor="text1" w:themeTint="80"/>
        <w:sz w:val="22"/>
        <w:szCs w:val="22"/>
      </w:rPr>
      <w:t xml:space="preserve">  |</w:t>
    </w:r>
    <w:proofErr w:type="gramEnd"/>
    <w:r w:rsidRPr="004C0BB6">
      <w:rPr>
        <w:rFonts w:asciiTheme="minorHAnsi" w:hAnsiTheme="minorHAnsi" w:cs="Pill Gothic 300mg Th"/>
        <w:color w:val="7F7F7F" w:themeColor="text1" w:themeTint="80"/>
        <w:sz w:val="22"/>
        <w:szCs w:val="22"/>
      </w:rPr>
      <w:t xml:space="preserve">  TCE-ES      </w:t>
    </w:r>
    <w:r w:rsidRPr="004C0BB6">
      <w:rPr>
        <w:rFonts w:asciiTheme="minorHAnsi" w:hAnsiTheme="minorHAnsi" w:cs="Pill Gothic 300mg Th"/>
        <w:sz w:val="22"/>
        <w:szCs w:val="22"/>
      </w:rPr>
      <w:fldChar w:fldCharType="begin"/>
    </w:r>
    <w:r w:rsidRPr="004C0BB6">
      <w:rPr>
        <w:rFonts w:asciiTheme="minorHAnsi" w:hAnsiTheme="minorHAnsi" w:cs="Pill Gothic 300mg Th"/>
        <w:sz w:val="22"/>
        <w:szCs w:val="22"/>
      </w:rPr>
      <w:instrText>PAGE   \* MERGEFORMAT</w:instrText>
    </w:r>
    <w:r w:rsidRPr="004C0BB6">
      <w:rPr>
        <w:rFonts w:asciiTheme="minorHAnsi" w:hAnsiTheme="minorHAnsi" w:cs="Pill Gothic 300mg Th"/>
        <w:sz w:val="22"/>
        <w:szCs w:val="22"/>
      </w:rPr>
      <w:fldChar w:fldCharType="separate"/>
    </w:r>
    <w:r w:rsidR="00A87C17">
      <w:rPr>
        <w:rFonts w:asciiTheme="minorHAnsi" w:hAnsiTheme="minorHAnsi" w:cs="Pill Gothic 300mg Th"/>
        <w:noProof/>
        <w:sz w:val="22"/>
        <w:szCs w:val="22"/>
      </w:rPr>
      <w:t>3</w:t>
    </w:r>
    <w:r w:rsidRPr="004C0BB6">
      <w:rPr>
        <w:rFonts w:asciiTheme="minorHAnsi" w:hAnsiTheme="minorHAnsi" w:cs="Pill Gothic 300mg Th"/>
        <w:sz w:val="22"/>
        <w:szCs w:val="22"/>
      </w:rPr>
      <w:fldChar w:fldCharType="end"/>
    </w:r>
  </w:p>
  <w:p w14:paraId="482F44B3" w14:textId="77777777" w:rsidR="004C0BB6" w:rsidRDefault="004C0B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167A" w14:textId="77777777" w:rsidR="00B5431B" w:rsidRDefault="00B5431B" w:rsidP="001137C8">
      <w:pPr>
        <w:spacing w:after="0" w:line="240" w:lineRule="auto"/>
      </w:pPr>
      <w:r>
        <w:separator/>
      </w:r>
    </w:p>
  </w:footnote>
  <w:footnote w:type="continuationSeparator" w:id="0">
    <w:p w14:paraId="5C0446BB" w14:textId="77777777" w:rsidR="00B5431B" w:rsidRDefault="00B5431B" w:rsidP="001137C8">
      <w:pPr>
        <w:spacing w:after="0" w:line="240" w:lineRule="auto"/>
      </w:pPr>
      <w:r>
        <w:continuationSeparator/>
      </w:r>
    </w:p>
  </w:footnote>
  <w:footnote w:id="1">
    <w:p w14:paraId="099B1853" w14:textId="09168E5C" w:rsidR="00A12279" w:rsidRDefault="00A122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2279">
        <w:t>Art. 28 - Fica o Chefe do Poder Executivo autorizado a conceder por decreto gratificação de até cem por cento incidente sobre seus vencimentos mensais dos servidores efetivos. [Lei n. 2000/1997 – Município de Ibiraçu]</w:t>
      </w:r>
      <w:r>
        <w:t>.</w:t>
      </w:r>
    </w:p>
  </w:footnote>
  <w:footnote w:id="2">
    <w:p w14:paraId="5525990A" w14:textId="446D6860" w:rsidR="00030925" w:rsidRDefault="00030925">
      <w:pPr>
        <w:pStyle w:val="Textodenotaderodap"/>
      </w:pPr>
      <w:r>
        <w:rPr>
          <w:rStyle w:val="Refdenotaderodap"/>
        </w:rPr>
        <w:footnoteRef/>
      </w:r>
      <w:r>
        <w:t xml:space="preserve"> (...) </w:t>
      </w:r>
      <w:r w:rsidRPr="00030925">
        <w:t>§ 1º A consulta deverá conter as seguintes formalidades:</w:t>
      </w:r>
      <w:r>
        <w:t xml:space="preserve"> (...) </w:t>
      </w:r>
      <w:r w:rsidRPr="00030925">
        <w:t>V - estar instruída com parecer do órgão de assistência técnica e/ou jurídica da autoridade consulente.</w:t>
      </w:r>
    </w:p>
  </w:footnote>
  <w:footnote w:id="3">
    <w:p w14:paraId="3B07C4A3" w14:textId="77777777" w:rsidR="00030925" w:rsidRDefault="0003092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30925">
        <w:t xml:space="preserve">Art. 122. O Plenário decidirá sobre consultas quanto às dúvidas suscitadas na aplicação de dispositivos legais e regulamentares concernentes à </w:t>
      </w:r>
      <w:r w:rsidRPr="00030925">
        <w:rPr>
          <w:b/>
          <w:bCs/>
        </w:rPr>
        <w:t>matéria de sua competência</w:t>
      </w:r>
      <w:r w:rsidRPr="00030925">
        <w:t>, que lhe forem formuladas pelas seguintes autoridades:</w:t>
      </w:r>
      <w:r>
        <w:t xml:space="preserve"> </w:t>
      </w:r>
    </w:p>
    <w:p w14:paraId="3B39436C" w14:textId="3512A88D" w:rsidR="00030925" w:rsidRDefault="00030925">
      <w:pPr>
        <w:pStyle w:val="Textodenotaderodap"/>
      </w:pPr>
      <w:r>
        <w:t xml:space="preserve">(...) </w:t>
      </w:r>
      <w:r w:rsidRPr="00030925">
        <w:t xml:space="preserve">§ 1º A consulta deverá conter as seguintes formalidades: </w:t>
      </w:r>
      <w:r>
        <w:t xml:space="preserve">(...) </w:t>
      </w:r>
      <w:r w:rsidRPr="00030925">
        <w:t xml:space="preserve">II - referir-se à </w:t>
      </w:r>
      <w:r w:rsidRPr="00030925">
        <w:rPr>
          <w:b/>
          <w:bCs/>
        </w:rPr>
        <w:t>matéria de competência do Tribunal de Contas</w:t>
      </w:r>
      <w:r w:rsidRPr="00030925">
        <w:t>;</w:t>
      </w:r>
    </w:p>
  </w:footnote>
  <w:footnote w:id="4">
    <w:p w14:paraId="3C41B62F" w14:textId="4CCC122C" w:rsidR="004E7708" w:rsidRPr="00660589" w:rsidRDefault="004E7708" w:rsidP="004E7708">
      <w:pPr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60589">
        <w:rPr>
          <w:sz w:val="20"/>
          <w:szCs w:val="20"/>
        </w:rPr>
        <w:t xml:space="preserve">Art. 63. O chamamento ao processo, bem como a comunicação dos atos e termos processuais, far-se-á mediante: I. Citação, pela qual o Tribunal dará ciência ao responsável de processo contra ele instaurado, chamando-o para se defender e/ou recolher a importância devida; (...) Art. 64. A </w:t>
      </w:r>
      <w:r w:rsidRPr="00660589">
        <w:rPr>
          <w:b/>
          <w:bCs/>
          <w:sz w:val="20"/>
          <w:szCs w:val="20"/>
        </w:rPr>
        <w:t>citação</w:t>
      </w:r>
      <w:r w:rsidRPr="00660589">
        <w:rPr>
          <w:sz w:val="20"/>
          <w:szCs w:val="20"/>
        </w:rPr>
        <w:t>, a comunicação de diligência ou a notificação, observado o disposto no Regimento Interno, far-se-á: (...)</w:t>
      </w:r>
      <w:r w:rsidR="00C7126A">
        <w:rPr>
          <w:sz w:val="20"/>
          <w:szCs w:val="20"/>
        </w:rPr>
        <w:t xml:space="preserve"> </w:t>
      </w:r>
      <w:r w:rsidRPr="00F71016">
        <w:rPr>
          <w:sz w:val="20"/>
          <w:szCs w:val="20"/>
        </w:rPr>
        <w:t xml:space="preserve">II. Pelo correio, mediante carta registrada, com aviso de recebimento que comprove a </w:t>
      </w:r>
      <w:r w:rsidRPr="00F71016">
        <w:rPr>
          <w:b/>
          <w:bCs/>
          <w:sz w:val="20"/>
          <w:szCs w:val="20"/>
        </w:rPr>
        <w:t>entrega no endereço do destinatário</w:t>
      </w:r>
      <w:r w:rsidRPr="00F71016">
        <w:rPr>
          <w:sz w:val="20"/>
          <w:szCs w:val="20"/>
        </w:rPr>
        <w:t>;</w:t>
      </w:r>
      <w:r w:rsidR="00C7126A">
        <w:rPr>
          <w:sz w:val="20"/>
          <w:szCs w:val="20"/>
        </w:rPr>
        <w:t xml:space="preserve"> </w:t>
      </w:r>
      <w:r>
        <w:rPr>
          <w:sz w:val="20"/>
          <w:szCs w:val="20"/>
        </w:rPr>
        <w:t>(...)</w:t>
      </w:r>
      <w:r w:rsidR="00C7126A">
        <w:rPr>
          <w:sz w:val="20"/>
          <w:szCs w:val="20"/>
        </w:rPr>
        <w:t xml:space="preserve"> </w:t>
      </w:r>
      <w:r w:rsidRPr="00660589">
        <w:rPr>
          <w:sz w:val="20"/>
          <w:szCs w:val="20"/>
        </w:rPr>
        <w:t xml:space="preserve">Parágrafo 1º. A comunicação dos atos processuais ter-se-á como realizada quando: I. Confirmada por recibo assinado por pessoa encarregada de receber a correspondência, ou conforme o caso, por membro da família ou </w:t>
      </w:r>
      <w:r w:rsidRPr="00660589">
        <w:rPr>
          <w:b/>
          <w:bCs/>
          <w:sz w:val="20"/>
          <w:szCs w:val="20"/>
        </w:rPr>
        <w:t>empregado do responsável</w:t>
      </w:r>
      <w:r w:rsidRPr="00660589">
        <w:rPr>
          <w:sz w:val="20"/>
          <w:szCs w:val="20"/>
        </w:rPr>
        <w:t xml:space="preserve"> ou do interessado. (g.n)</w:t>
      </w:r>
    </w:p>
    <w:p w14:paraId="7CB216A7" w14:textId="3FF6F487" w:rsidR="004E7708" w:rsidRDefault="004E770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F524" w14:textId="77777777" w:rsidR="001137C8" w:rsidRPr="004C0BB6" w:rsidRDefault="001137C8">
    <w:pPr>
      <w:pStyle w:val="Cabealho"/>
      <w:rPr>
        <w:color w:val="7F7F7F" w:themeColor="text1" w:themeTint="80"/>
      </w:rPr>
    </w:pPr>
    <w:r w:rsidRPr="004C0BB6">
      <w:rPr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1" locked="0" layoutInCell="1" allowOverlap="1" wp14:anchorId="072692B1" wp14:editId="6DD63457">
          <wp:simplePos x="0" y="0"/>
          <wp:positionH relativeFrom="margin">
            <wp:posOffset>-472646</wp:posOffset>
          </wp:positionH>
          <wp:positionV relativeFrom="paragraph">
            <wp:posOffset>0</wp:posOffset>
          </wp:positionV>
          <wp:extent cx="1891665" cy="5600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66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BB6">
      <w:rPr>
        <w:noProof/>
        <w:color w:val="7F7F7F" w:themeColor="text1" w:themeTint="80"/>
        <w:lang w:eastAsia="pt-BR"/>
      </w:rPr>
      <w:drawing>
        <wp:anchor distT="0" distB="0" distL="114300" distR="114300" simplePos="0" relativeHeight="251659264" behindDoc="1" locked="0" layoutInCell="1" allowOverlap="1" wp14:anchorId="4DA2D59B" wp14:editId="7AE979A4">
          <wp:simplePos x="0" y="0"/>
          <wp:positionH relativeFrom="margin">
            <wp:posOffset>3250994</wp:posOffset>
          </wp:positionH>
          <wp:positionV relativeFrom="paragraph">
            <wp:posOffset>189865</wp:posOffset>
          </wp:positionV>
          <wp:extent cx="2751935" cy="17442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935" cy="174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BED"/>
    <w:multiLevelType w:val="hybridMultilevel"/>
    <w:tmpl w:val="39B8A774"/>
    <w:lvl w:ilvl="0" w:tplc="82B860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1E37"/>
    <w:multiLevelType w:val="hybridMultilevel"/>
    <w:tmpl w:val="03BE1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CB6"/>
    <w:multiLevelType w:val="hybridMultilevel"/>
    <w:tmpl w:val="5518E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E63"/>
    <w:multiLevelType w:val="hybridMultilevel"/>
    <w:tmpl w:val="3C7E3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0EF8"/>
    <w:multiLevelType w:val="hybridMultilevel"/>
    <w:tmpl w:val="9020B3F6"/>
    <w:lvl w:ilvl="0" w:tplc="5AF256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CD1"/>
    <w:multiLevelType w:val="hybridMultilevel"/>
    <w:tmpl w:val="20E8D1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4DE8"/>
    <w:multiLevelType w:val="hybridMultilevel"/>
    <w:tmpl w:val="D4706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506D"/>
    <w:multiLevelType w:val="hybridMultilevel"/>
    <w:tmpl w:val="7E2CC1BC"/>
    <w:lvl w:ilvl="0" w:tplc="7348FB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6937"/>
    <w:multiLevelType w:val="hybridMultilevel"/>
    <w:tmpl w:val="7E2CC1BC"/>
    <w:lvl w:ilvl="0" w:tplc="7348FB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53983"/>
    <w:multiLevelType w:val="hybridMultilevel"/>
    <w:tmpl w:val="164A8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647F"/>
    <w:multiLevelType w:val="hybridMultilevel"/>
    <w:tmpl w:val="74427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503"/>
    <w:multiLevelType w:val="hybridMultilevel"/>
    <w:tmpl w:val="63A64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09B8"/>
    <w:multiLevelType w:val="multilevel"/>
    <w:tmpl w:val="EBF26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C9467D"/>
    <w:multiLevelType w:val="hybridMultilevel"/>
    <w:tmpl w:val="09AEAF36"/>
    <w:lvl w:ilvl="0" w:tplc="DA78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A24"/>
    <w:multiLevelType w:val="hybridMultilevel"/>
    <w:tmpl w:val="DAF6CF18"/>
    <w:lvl w:ilvl="0" w:tplc="1DB4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12B3"/>
    <w:multiLevelType w:val="hybridMultilevel"/>
    <w:tmpl w:val="A0347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FF"/>
    <w:multiLevelType w:val="hybridMultilevel"/>
    <w:tmpl w:val="7CBEF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520"/>
    <w:multiLevelType w:val="hybridMultilevel"/>
    <w:tmpl w:val="511CF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3209F"/>
    <w:multiLevelType w:val="hybridMultilevel"/>
    <w:tmpl w:val="35487920"/>
    <w:lvl w:ilvl="0" w:tplc="83F00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34A05"/>
    <w:multiLevelType w:val="hybridMultilevel"/>
    <w:tmpl w:val="30D23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30E88"/>
    <w:multiLevelType w:val="hybridMultilevel"/>
    <w:tmpl w:val="565C5844"/>
    <w:lvl w:ilvl="0" w:tplc="B9C8D59E">
      <w:start w:val="1"/>
      <w:numFmt w:val="decimal"/>
      <w:lvlText w:val="%1."/>
      <w:lvlJc w:val="left"/>
      <w:pPr>
        <w:ind w:left="735" w:hanging="37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534A4"/>
    <w:multiLevelType w:val="hybridMultilevel"/>
    <w:tmpl w:val="13809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34370"/>
    <w:multiLevelType w:val="hybridMultilevel"/>
    <w:tmpl w:val="FE021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67CA1"/>
    <w:multiLevelType w:val="hybridMultilevel"/>
    <w:tmpl w:val="62B05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26008"/>
    <w:multiLevelType w:val="hybridMultilevel"/>
    <w:tmpl w:val="FBC08704"/>
    <w:lvl w:ilvl="0" w:tplc="D7F693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E5445"/>
    <w:multiLevelType w:val="hybridMultilevel"/>
    <w:tmpl w:val="DDE07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655C8"/>
    <w:multiLevelType w:val="hybridMultilevel"/>
    <w:tmpl w:val="3A0AD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F6FE5"/>
    <w:multiLevelType w:val="hybridMultilevel"/>
    <w:tmpl w:val="DF567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0C58"/>
    <w:multiLevelType w:val="hybridMultilevel"/>
    <w:tmpl w:val="6A105528"/>
    <w:lvl w:ilvl="0" w:tplc="99BEB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B1588"/>
    <w:multiLevelType w:val="hybridMultilevel"/>
    <w:tmpl w:val="E2743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5013"/>
    <w:multiLevelType w:val="hybridMultilevel"/>
    <w:tmpl w:val="2F22A61A"/>
    <w:lvl w:ilvl="0" w:tplc="D2604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4777"/>
    <w:multiLevelType w:val="hybridMultilevel"/>
    <w:tmpl w:val="D2C2F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124A6"/>
    <w:multiLevelType w:val="hybridMultilevel"/>
    <w:tmpl w:val="08201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947">
    <w:abstractNumId w:val="9"/>
  </w:num>
  <w:num w:numId="2" w16cid:durableId="1776166469">
    <w:abstractNumId w:val="26"/>
  </w:num>
  <w:num w:numId="3" w16cid:durableId="1694845171">
    <w:abstractNumId w:val="31"/>
  </w:num>
  <w:num w:numId="4" w16cid:durableId="473832272">
    <w:abstractNumId w:val="23"/>
  </w:num>
  <w:num w:numId="5" w16cid:durableId="1990595709">
    <w:abstractNumId w:val="11"/>
  </w:num>
  <w:num w:numId="6" w16cid:durableId="945116508">
    <w:abstractNumId w:val="17"/>
  </w:num>
  <w:num w:numId="7" w16cid:durableId="56056337">
    <w:abstractNumId w:val="4"/>
  </w:num>
  <w:num w:numId="8" w16cid:durableId="242111688">
    <w:abstractNumId w:val="24"/>
  </w:num>
  <w:num w:numId="9" w16cid:durableId="912275347">
    <w:abstractNumId w:val="28"/>
  </w:num>
  <w:num w:numId="10" w16cid:durableId="1235239407">
    <w:abstractNumId w:val="3"/>
  </w:num>
  <w:num w:numId="11" w16cid:durableId="1711487685">
    <w:abstractNumId w:val="22"/>
  </w:num>
  <w:num w:numId="12" w16cid:durableId="866598018">
    <w:abstractNumId w:val="10"/>
  </w:num>
  <w:num w:numId="13" w16cid:durableId="1394351593">
    <w:abstractNumId w:val="32"/>
  </w:num>
  <w:num w:numId="14" w16cid:durableId="74321803">
    <w:abstractNumId w:val="14"/>
  </w:num>
  <w:num w:numId="15" w16cid:durableId="1313021150">
    <w:abstractNumId w:val="27"/>
  </w:num>
  <w:num w:numId="16" w16cid:durableId="1611661566">
    <w:abstractNumId w:val="0"/>
  </w:num>
  <w:num w:numId="17" w16cid:durableId="801000474">
    <w:abstractNumId w:val="7"/>
  </w:num>
  <w:num w:numId="18" w16cid:durableId="19137274">
    <w:abstractNumId w:val="20"/>
  </w:num>
  <w:num w:numId="19" w16cid:durableId="794718837">
    <w:abstractNumId w:val="8"/>
  </w:num>
  <w:num w:numId="20" w16cid:durableId="279145359">
    <w:abstractNumId w:val="20"/>
  </w:num>
  <w:num w:numId="21" w16cid:durableId="1555660206">
    <w:abstractNumId w:val="20"/>
    <w:lvlOverride w:ilvl="0">
      <w:startOverride w:val="1"/>
    </w:lvlOverride>
  </w:num>
  <w:num w:numId="22" w16cid:durableId="1521620477">
    <w:abstractNumId w:val="19"/>
  </w:num>
  <w:num w:numId="23" w16cid:durableId="352263267">
    <w:abstractNumId w:val="30"/>
  </w:num>
  <w:num w:numId="24" w16cid:durableId="1684239360">
    <w:abstractNumId w:val="6"/>
  </w:num>
  <w:num w:numId="25" w16cid:durableId="2051025187">
    <w:abstractNumId w:val="2"/>
  </w:num>
  <w:num w:numId="26" w16cid:durableId="2013024388">
    <w:abstractNumId w:val="1"/>
  </w:num>
  <w:num w:numId="27" w16cid:durableId="2013874443">
    <w:abstractNumId w:val="15"/>
  </w:num>
  <w:num w:numId="28" w16cid:durableId="348333315">
    <w:abstractNumId w:val="5"/>
  </w:num>
  <w:num w:numId="29" w16cid:durableId="39330312">
    <w:abstractNumId w:val="18"/>
  </w:num>
  <w:num w:numId="30" w16cid:durableId="1854610062">
    <w:abstractNumId w:val="13"/>
  </w:num>
  <w:num w:numId="31" w16cid:durableId="1471512520">
    <w:abstractNumId w:val="29"/>
  </w:num>
  <w:num w:numId="32" w16cid:durableId="1910995651">
    <w:abstractNumId w:val="25"/>
  </w:num>
  <w:num w:numId="33" w16cid:durableId="1246648203">
    <w:abstractNumId w:val="16"/>
  </w:num>
  <w:num w:numId="34" w16cid:durableId="163015115">
    <w:abstractNumId w:val="12"/>
  </w:num>
  <w:num w:numId="35" w16cid:durableId="6154495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ED"/>
    <w:rsid w:val="000178CC"/>
    <w:rsid w:val="00030925"/>
    <w:rsid w:val="00032F86"/>
    <w:rsid w:val="00033BED"/>
    <w:rsid w:val="00047759"/>
    <w:rsid w:val="00050789"/>
    <w:rsid w:val="00054189"/>
    <w:rsid w:val="00074B49"/>
    <w:rsid w:val="000B5FFB"/>
    <w:rsid w:val="000B7ED1"/>
    <w:rsid w:val="000C5EDB"/>
    <w:rsid w:val="000D7F83"/>
    <w:rsid w:val="0010618B"/>
    <w:rsid w:val="001137C8"/>
    <w:rsid w:val="001323AB"/>
    <w:rsid w:val="001353E8"/>
    <w:rsid w:val="00136264"/>
    <w:rsid w:val="001376B5"/>
    <w:rsid w:val="00161EB3"/>
    <w:rsid w:val="001701E5"/>
    <w:rsid w:val="001747C1"/>
    <w:rsid w:val="0017631E"/>
    <w:rsid w:val="00184010"/>
    <w:rsid w:val="00190EA9"/>
    <w:rsid w:val="001C5732"/>
    <w:rsid w:val="001F26B9"/>
    <w:rsid w:val="001F44EF"/>
    <w:rsid w:val="0020327A"/>
    <w:rsid w:val="002043CB"/>
    <w:rsid w:val="00230408"/>
    <w:rsid w:val="002413C7"/>
    <w:rsid w:val="00253AF5"/>
    <w:rsid w:val="00256C04"/>
    <w:rsid w:val="002B1F1F"/>
    <w:rsid w:val="002B3EF2"/>
    <w:rsid w:val="002C2C7F"/>
    <w:rsid w:val="002D6754"/>
    <w:rsid w:val="002E2ABA"/>
    <w:rsid w:val="002F5682"/>
    <w:rsid w:val="002F6FE6"/>
    <w:rsid w:val="0030555F"/>
    <w:rsid w:val="00311C83"/>
    <w:rsid w:val="0032326D"/>
    <w:rsid w:val="00323EFA"/>
    <w:rsid w:val="003277A2"/>
    <w:rsid w:val="00336755"/>
    <w:rsid w:val="00340548"/>
    <w:rsid w:val="003573D6"/>
    <w:rsid w:val="00357782"/>
    <w:rsid w:val="00363D0D"/>
    <w:rsid w:val="00365A03"/>
    <w:rsid w:val="00367901"/>
    <w:rsid w:val="00386116"/>
    <w:rsid w:val="0039126C"/>
    <w:rsid w:val="00393D0D"/>
    <w:rsid w:val="0039748D"/>
    <w:rsid w:val="003A6129"/>
    <w:rsid w:val="003B35DE"/>
    <w:rsid w:val="003D4654"/>
    <w:rsid w:val="003F6A88"/>
    <w:rsid w:val="004247AC"/>
    <w:rsid w:val="00424F87"/>
    <w:rsid w:val="0044244F"/>
    <w:rsid w:val="004524CF"/>
    <w:rsid w:val="0046044C"/>
    <w:rsid w:val="00471D61"/>
    <w:rsid w:val="00480D6B"/>
    <w:rsid w:val="00484DB6"/>
    <w:rsid w:val="00484F2B"/>
    <w:rsid w:val="004A02E8"/>
    <w:rsid w:val="004A2F92"/>
    <w:rsid w:val="004B1CFF"/>
    <w:rsid w:val="004B39C1"/>
    <w:rsid w:val="004B62C0"/>
    <w:rsid w:val="004C0BB6"/>
    <w:rsid w:val="004C2320"/>
    <w:rsid w:val="004C2A1C"/>
    <w:rsid w:val="004C6BE2"/>
    <w:rsid w:val="004C7E3E"/>
    <w:rsid w:val="004D2A25"/>
    <w:rsid w:val="004D72E4"/>
    <w:rsid w:val="004E56AB"/>
    <w:rsid w:val="004E6A19"/>
    <w:rsid w:val="004E7708"/>
    <w:rsid w:val="00502878"/>
    <w:rsid w:val="00560A14"/>
    <w:rsid w:val="00560DBD"/>
    <w:rsid w:val="005770BA"/>
    <w:rsid w:val="005966B7"/>
    <w:rsid w:val="005A5B15"/>
    <w:rsid w:val="005C2E90"/>
    <w:rsid w:val="005C50BD"/>
    <w:rsid w:val="005D151E"/>
    <w:rsid w:val="005F03C3"/>
    <w:rsid w:val="005F0F56"/>
    <w:rsid w:val="005F3BB5"/>
    <w:rsid w:val="00600E52"/>
    <w:rsid w:val="00611073"/>
    <w:rsid w:val="00617036"/>
    <w:rsid w:val="00617136"/>
    <w:rsid w:val="00632EA4"/>
    <w:rsid w:val="00635545"/>
    <w:rsid w:val="006468ED"/>
    <w:rsid w:val="00660589"/>
    <w:rsid w:val="00663A11"/>
    <w:rsid w:val="006716BE"/>
    <w:rsid w:val="006800BB"/>
    <w:rsid w:val="00683E15"/>
    <w:rsid w:val="0069235B"/>
    <w:rsid w:val="00693E55"/>
    <w:rsid w:val="006965AD"/>
    <w:rsid w:val="006A3A11"/>
    <w:rsid w:val="006A6B29"/>
    <w:rsid w:val="006B3DAF"/>
    <w:rsid w:val="006B7A6D"/>
    <w:rsid w:val="006C1EEF"/>
    <w:rsid w:val="006D53C2"/>
    <w:rsid w:val="006D7450"/>
    <w:rsid w:val="006D7A89"/>
    <w:rsid w:val="006E1899"/>
    <w:rsid w:val="006E3432"/>
    <w:rsid w:val="006E34B9"/>
    <w:rsid w:val="006E37F4"/>
    <w:rsid w:val="006E3B44"/>
    <w:rsid w:val="006F1740"/>
    <w:rsid w:val="00732179"/>
    <w:rsid w:val="00733059"/>
    <w:rsid w:val="0074234E"/>
    <w:rsid w:val="00750B63"/>
    <w:rsid w:val="00755FA3"/>
    <w:rsid w:val="0075649B"/>
    <w:rsid w:val="00757549"/>
    <w:rsid w:val="00785E1F"/>
    <w:rsid w:val="007B2FE4"/>
    <w:rsid w:val="007B5DEC"/>
    <w:rsid w:val="007C29BD"/>
    <w:rsid w:val="007E460B"/>
    <w:rsid w:val="007F2EFD"/>
    <w:rsid w:val="00803243"/>
    <w:rsid w:val="00804A46"/>
    <w:rsid w:val="0080722E"/>
    <w:rsid w:val="00821FB3"/>
    <w:rsid w:val="0082224A"/>
    <w:rsid w:val="00832AD6"/>
    <w:rsid w:val="0083547A"/>
    <w:rsid w:val="00850454"/>
    <w:rsid w:val="00894AF8"/>
    <w:rsid w:val="0089591A"/>
    <w:rsid w:val="00897C03"/>
    <w:rsid w:val="008B05BF"/>
    <w:rsid w:val="008C39D3"/>
    <w:rsid w:val="008D3093"/>
    <w:rsid w:val="008D7A9B"/>
    <w:rsid w:val="008E194A"/>
    <w:rsid w:val="008E7930"/>
    <w:rsid w:val="009058A1"/>
    <w:rsid w:val="00905BD9"/>
    <w:rsid w:val="0091041A"/>
    <w:rsid w:val="00940ACD"/>
    <w:rsid w:val="00942B1E"/>
    <w:rsid w:val="0094758C"/>
    <w:rsid w:val="00967185"/>
    <w:rsid w:val="00967EED"/>
    <w:rsid w:val="00994ACE"/>
    <w:rsid w:val="00995691"/>
    <w:rsid w:val="009A512C"/>
    <w:rsid w:val="009A7869"/>
    <w:rsid w:val="009B127E"/>
    <w:rsid w:val="009B76A0"/>
    <w:rsid w:val="009E1B5D"/>
    <w:rsid w:val="009E4716"/>
    <w:rsid w:val="009E4B1E"/>
    <w:rsid w:val="009F6097"/>
    <w:rsid w:val="009F6391"/>
    <w:rsid w:val="009F6E47"/>
    <w:rsid w:val="00A0042F"/>
    <w:rsid w:val="00A04F86"/>
    <w:rsid w:val="00A12279"/>
    <w:rsid w:val="00A23C0F"/>
    <w:rsid w:val="00A26479"/>
    <w:rsid w:val="00A472BD"/>
    <w:rsid w:val="00A70211"/>
    <w:rsid w:val="00A81577"/>
    <w:rsid w:val="00A851D9"/>
    <w:rsid w:val="00A87C17"/>
    <w:rsid w:val="00A975B8"/>
    <w:rsid w:val="00AA0AD9"/>
    <w:rsid w:val="00AC393F"/>
    <w:rsid w:val="00AE1F89"/>
    <w:rsid w:val="00AF29C6"/>
    <w:rsid w:val="00AF4807"/>
    <w:rsid w:val="00AF7E4D"/>
    <w:rsid w:val="00B224E4"/>
    <w:rsid w:val="00B30C88"/>
    <w:rsid w:val="00B3627C"/>
    <w:rsid w:val="00B52A63"/>
    <w:rsid w:val="00B5431B"/>
    <w:rsid w:val="00B651C9"/>
    <w:rsid w:val="00B71BCA"/>
    <w:rsid w:val="00B83A36"/>
    <w:rsid w:val="00B8649D"/>
    <w:rsid w:val="00B947C9"/>
    <w:rsid w:val="00BC4A1F"/>
    <w:rsid w:val="00BC7059"/>
    <w:rsid w:val="00BD4226"/>
    <w:rsid w:val="00BD592B"/>
    <w:rsid w:val="00C008FA"/>
    <w:rsid w:val="00C07FC7"/>
    <w:rsid w:val="00C120E7"/>
    <w:rsid w:val="00C17980"/>
    <w:rsid w:val="00C3160F"/>
    <w:rsid w:val="00C379D6"/>
    <w:rsid w:val="00C51937"/>
    <w:rsid w:val="00C55314"/>
    <w:rsid w:val="00C62E46"/>
    <w:rsid w:val="00C7126A"/>
    <w:rsid w:val="00C82F3C"/>
    <w:rsid w:val="00C83C4E"/>
    <w:rsid w:val="00C86E39"/>
    <w:rsid w:val="00CA7F59"/>
    <w:rsid w:val="00CB00DA"/>
    <w:rsid w:val="00CB65B3"/>
    <w:rsid w:val="00CD1DC6"/>
    <w:rsid w:val="00CD61E1"/>
    <w:rsid w:val="00CE017C"/>
    <w:rsid w:val="00D311FC"/>
    <w:rsid w:val="00D3306E"/>
    <w:rsid w:val="00D330DC"/>
    <w:rsid w:val="00D44BE7"/>
    <w:rsid w:val="00D45473"/>
    <w:rsid w:val="00D85242"/>
    <w:rsid w:val="00DA37A1"/>
    <w:rsid w:val="00DF1EB1"/>
    <w:rsid w:val="00DF4E5B"/>
    <w:rsid w:val="00E10D62"/>
    <w:rsid w:val="00E15F13"/>
    <w:rsid w:val="00E15F53"/>
    <w:rsid w:val="00E2129D"/>
    <w:rsid w:val="00E304F8"/>
    <w:rsid w:val="00E3259F"/>
    <w:rsid w:val="00E35E78"/>
    <w:rsid w:val="00E40D23"/>
    <w:rsid w:val="00E5496D"/>
    <w:rsid w:val="00E7196E"/>
    <w:rsid w:val="00E877B9"/>
    <w:rsid w:val="00EA6C9B"/>
    <w:rsid w:val="00EB6907"/>
    <w:rsid w:val="00EE5A26"/>
    <w:rsid w:val="00F002D5"/>
    <w:rsid w:val="00F01989"/>
    <w:rsid w:val="00F06A5D"/>
    <w:rsid w:val="00F1771D"/>
    <w:rsid w:val="00F4111B"/>
    <w:rsid w:val="00F45139"/>
    <w:rsid w:val="00F7059D"/>
    <w:rsid w:val="00F71016"/>
    <w:rsid w:val="00F741F8"/>
    <w:rsid w:val="00F96906"/>
    <w:rsid w:val="00FA5643"/>
    <w:rsid w:val="00FB35F0"/>
    <w:rsid w:val="00FC688F"/>
    <w:rsid w:val="00FD6299"/>
    <w:rsid w:val="00FE0878"/>
    <w:rsid w:val="00FF0830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7FF3B"/>
  <w15:chartTrackingRefBased/>
  <w15:docId w15:val="{C88348F0-B09F-48B1-B723-B7E4B95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1A"/>
  </w:style>
  <w:style w:type="paragraph" w:styleId="Ttulo1">
    <w:name w:val="heading 1"/>
    <w:aliases w:val="Título PLENÁRIO"/>
    <w:basedOn w:val="Normal"/>
    <w:next w:val="Normal"/>
    <w:link w:val="Ttulo1Char"/>
    <w:autoRedefine/>
    <w:uiPriority w:val="9"/>
    <w:qFormat/>
    <w:rsid w:val="004C7E3E"/>
    <w:pPr>
      <w:keepNext/>
      <w:keepLines/>
      <w:spacing w:before="240" w:after="0" w:line="240" w:lineRule="auto"/>
      <w:outlineLvl w:val="0"/>
    </w:pPr>
    <w:rPr>
      <w:rFonts w:eastAsia="Calibri" w:cstheme="majorBidi"/>
      <w:b/>
      <w:color w:val="000000" w:themeColor="text1"/>
      <w:sz w:val="24"/>
      <w:szCs w:val="32"/>
    </w:rPr>
  </w:style>
  <w:style w:type="paragraph" w:styleId="Ttulo2">
    <w:name w:val="heading 2"/>
    <w:aliases w:val="Título 1ª CÂMARA"/>
    <w:basedOn w:val="Normal"/>
    <w:next w:val="Normal"/>
    <w:link w:val="Ttulo2Char"/>
    <w:uiPriority w:val="9"/>
    <w:unhideWhenUsed/>
    <w:qFormat/>
    <w:rsid w:val="006965AD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Ttulo3">
    <w:name w:val="heading 3"/>
    <w:aliases w:val="Título 2ª CAMARA"/>
    <w:basedOn w:val="Normal"/>
    <w:next w:val="Normal"/>
    <w:link w:val="Ttulo3Char"/>
    <w:autoRedefine/>
    <w:uiPriority w:val="9"/>
    <w:unhideWhenUsed/>
    <w:qFormat/>
    <w:rsid w:val="004C7E3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Ttulo4">
    <w:name w:val="heading 4"/>
    <w:aliases w:val="OUTROS TRIBUNAIS"/>
    <w:basedOn w:val="Normal"/>
    <w:next w:val="Normal"/>
    <w:link w:val="Ttulo4Char"/>
    <w:autoRedefine/>
    <w:uiPriority w:val="9"/>
    <w:unhideWhenUsed/>
    <w:rsid w:val="006965AD"/>
    <w:pPr>
      <w:keepNext/>
      <w:keepLines/>
      <w:spacing w:before="40" w:after="0" w:line="240" w:lineRule="auto"/>
      <w:outlineLvl w:val="3"/>
    </w:pPr>
    <w:rPr>
      <w:rFonts w:ascii="Calibri" w:eastAsiaTheme="majorEastAsia" w:hAnsi="Calibri" w:cstheme="majorBidi"/>
      <w:b/>
      <w:iCs/>
      <w:sz w:val="24"/>
    </w:rPr>
  </w:style>
  <w:style w:type="paragraph" w:styleId="Ttulo5">
    <w:name w:val="heading 5"/>
    <w:aliases w:val="Título 4 - outros"/>
    <w:basedOn w:val="Normal"/>
    <w:next w:val="Normal"/>
    <w:link w:val="Ttulo5Char"/>
    <w:autoRedefine/>
    <w:uiPriority w:val="9"/>
    <w:unhideWhenUsed/>
    <w:rsid w:val="004C7E3E"/>
    <w:pPr>
      <w:keepNext/>
      <w:keepLines/>
      <w:spacing w:before="40" w:after="0"/>
      <w:outlineLvl w:val="4"/>
    </w:pPr>
    <w:rPr>
      <w:rFonts w:eastAsiaTheme="majorEastAsia" w:cstheme="majorBidi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37C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13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7C8"/>
  </w:style>
  <w:style w:type="paragraph" w:styleId="Rodap">
    <w:name w:val="footer"/>
    <w:basedOn w:val="Normal"/>
    <w:link w:val="RodapChar"/>
    <w:uiPriority w:val="99"/>
    <w:unhideWhenUsed/>
    <w:rsid w:val="00113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7C8"/>
  </w:style>
  <w:style w:type="paragraph" w:customStyle="1" w:styleId="Pargrafobsico">
    <w:name w:val="[Parágrafo básico]"/>
    <w:basedOn w:val="Normal"/>
    <w:uiPriority w:val="99"/>
    <w:rsid w:val="004C0B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4F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94A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A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AC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AC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32EA4"/>
    <w:rPr>
      <w:color w:val="0563C1" w:themeColor="hyperlink"/>
      <w:u w:val="single"/>
    </w:rPr>
  </w:style>
  <w:style w:type="character" w:customStyle="1" w:styleId="Ttulo1Char">
    <w:name w:val="Título 1 Char"/>
    <w:aliases w:val="Título PLENÁRIO Char"/>
    <w:basedOn w:val="Fontepargpadro"/>
    <w:link w:val="Ttulo1"/>
    <w:uiPriority w:val="9"/>
    <w:rsid w:val="004C7E3E"/>
    <w:rPr>
      <w:rFonts w:eastAsia="Calibri" w:cstheme="majorBidi"/>
      <w:b/>
      <w:color w:val="000000" w:themeColor="text1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4DB6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67901"/>
    <w:pPr>
      <w:shd w:val="pct5" w:color="DEEAF6" w:themeColor="accent1" w:themeTint="33" w:fill="DEEAF6" w:themeFill="accent1" w:themeFillTint="33"/>
      <w:tabs>
        <w:tab w:val="right" w:pos="8494"/>
      </w:tabs>
    </w:pPr>
    <w:rPr>
      <w:rFonts w:ascii="Calibri" w:eastAsia="Calibri" w:hAnsi="Calibri" w:cstheme="majorBidi"/>
      <w:b/>
      <w:bCs/>
      <w:noProof/>
      <w:sz w:val="24"/>
    </w:rPr>
  </w:style>
  <w:style w:type="character" w:customStyle="1" w:styleId="Ttulo2Char">
    <w:name w:val="Título 2 Char"/>
    <w:aliases w:val="Título 1ª CÂMARA Char"/>
    <w:basedOn w:val="Fontepargpadro"/>
    <w:link w:val="Ttulo2"/>
    <w:uiPriority w:val="9"/>
    <w:rsid w:val="006965AD"/>
    <w:rPr>
      <w:rFonts w:ascii="Calibri" w:eastAsiaTheme="majorEastAsia" w:hAnsi="Calibri" w:cstheme="majorBidi"/>
      <w:b/>
      <w:sz w:val="24"/>
      <w:szCs w:val="26"/>
    </w:rPr>
  </w:style>
  <w:style w:type="character" w:customStyle="1" w:styleId="Ttulo3Char">
    <w:name w:val="Título 3 Char"/>
    <w:aliases w:val="Título 2ª CAMARA Char"/>
    <w:basedOn w:val="Fontepargpadro"/>
    <w:link w:val="Ttulo3"/>
    <w:uiPriority w:val="9"/>
    <w:rsid w:val="004C7E3E"/>
    <w:rPr>
      <w:rFonts w:ascii="Calibri" w:eastAsiaTheme="majorEastAsia" w:hAnsi="Calibri" w:cstheme="majorBidi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95691"/>
    <w:pPr>
      <w:shd w:val="clear" w:color="auto" w:fill="FFF2CC" w:themeFill="accent4" w:themeFillTint="33"/>
      <w:tabs>
        <w:tab w:val="right" w:pos="8494"/>
      </w:tabs>
    </w:pPr>
    <w:rPr>
      <w:noProof/>
      <w:sz w:val="24"/>
    </w:rPr>
  </w:style>
  <w:style w:type="character" w:customStyle="1" w:styleId="Ttulo4Char">
    <w:name w:val="Título 4 Char"/>
    <w:aliases w:val="OUTROS TRIBUNAIS Char"/>
    <w:basedOn w:val="Fontepargpadro"/>
    <w:link w:val="Ttulo4"/>
    <w:uiPriority w:val="9"/>
    <w:rsid w:val="006965AD"/>
    <w:rPr>
      <w:rFonts w:ascii="Calibri" w:eastAsiaTheme="majorEastAsia" w:hAnsi="Calibri" w:cstheme="majorBidi"/>
      <w:b/>
      <w:i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FF70BA"/>
    <w:pPr>
      <w:shd w:val="clear" w:color="auto" w:fill="E2EFD9" w:themeFill="accent6" w:themeFillTint="33"/>
      <w:tabs>
        <w:tab w:val="right" w:pos="8494"/>
      </w:tabs>
    </w:pPr>
    <w:rPr>
      <w:rFonts w:ascii="Calibri" w:hAnsi="Calibri"/>
      <w:noProof/>
      <w:sz w:val="24"/>
    </w:rPr>
  </w:style>
  <w:style w:type="character" w:customStyle="1" w:styleId="Ttulo5Char">
    <w:name w:val="Título 5 Char"/>
    <w:aliases w:val="Título 4 - outros Char"/>
    <w:basedOn w:val="Fontepargpadro"/>
    <w:link w:val="Ttulo5"/>
    <w:uiPriority w:val="9"/>
    <w:rsid w:val="004C7E3E"/>
    <w:rPr>
      <w:rFonts w:eastAsiaTheme="majorEastAsia" w:cstheme="majorBidi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FF70BA"/>
    <w:pPr>
      <w:shd w:val="clear" w:color="auto" w:fill="DBDBDB" w:themeFill="accent3" w:themeFillTint="66"/>
      <w:tabs>
        <w:tab w:val="right" w:pos="8494"/>
      </w:tabs>
    </w:pPr>
    <w:rPr>
      <w:noProof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4C7E3E"/>
    <w:pPr>
      <w:ind w:left="880"/>
    </w:pPr>
  </w:style>
  <w:style w:type="character" w:styleId="TtulodoLivro">
    <w:name w:val="Book Title"/>
    <w:basedOn w:val="Fontepargpadro"/>
    <w:uiPriority w:val="33"/>
    <w:qFormat/>
    <w:rsid w:val="004C7E3E"/>
    <w:rPr>
      <w:b/>
      <w:bCs/>
      <w:i/>
      <w:iCs/>
      <w:spacing w:val="5"/>
    </w:rPr>
  </w:style>
  <w:style w:type="paragraph" w:customStyle="1" w:styleId="Titulooutrostribunais">
    <w:name w:val="Titulo outros tribunais"/>
    <w:basedOn w:val="Ttulo4"/>
    <w:link w:val="TitulooutrostribunaisChar"/>
    <w:autoRedefine/>
    <w:qFormat/>
    <w:rsid w:val="00560A14"/>
  </w:style>
  <w:style w:type="character" w:customStyle="1" w:styleId="TitulooutrostribunaisChar">
    <w:name w:val="Titulo outros tribunais Char"/>
    <w:basedOn w:val="Ttulo5Char"/>
    <w:link w:val="Titulooutrostribunais"/>
    <w:rsid w:val="00560A14"/>
    <w:rPr>
      <w:rFonts w:ascii="Calibri" w:eastAsiaTheme="majorEastAsia" w:hAnsi="Calibri" w:cstheme="majorBidi"/>
      <w:b/>
      <w:iCs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393D0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7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7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708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5C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.tcees.tc.br/Noticia/BaixarDocumento?idDocumento=4318119" TargetMode="External"/><Relationship Id="rId13" Type="http://schemas.openxmlformats.org/officeDocument/2006/relationships/hyperlink" Target="https://diario.tcees.tc.br/Noticia/BaixarDocumento?idDocumento=4306437" TargetMode="External"/><Relationship Id="rId18" Type="http://schemas.openxmlformats.org/officeDocument/2006/relationships/hyperlink" Target="https://diario.tcees.tc.br/Noticia/BaixarDocumento?idDocumento=431289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iario.tcees.tc.br/Noticia/BaixarDocumento?idDocumento=4306367" TargetMode="External"/><Relationship Id="rId17" Type="http://schemas.openxmlformats.org/officeDocument/2006/relationships/hyperlink" Target="https://diario.tcees.tc.br/Noticia/BaixarDocumento?idDocumento=43018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ario.tcees.tc.br/Noticia/BaixarDocumento?idDocumento=43075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rio.tcees.tc.br/Noticia/BaixarDocumento?idDocumento=4320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ario.tcees.tc.br/Noticia/BaixarDocumento?idDocumento=43182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ario.tcees.tc.br/Noticia/BaixarDocumento?idDocumento=4301136" TargetMode="External"/><Relationship Id="rId19" Type="http://schemas.openxmlformats.org/officeDocument/2006/relationships/hyperlink" Target="https://diario.tcees.tc.br/Noticia/BaixarDocumento?idDocumento=4312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rio.tcees.tc.br/Noticia/BaixarDocumento?idDocumento=4312086" TargetMode="External"/><Relationship Id="rId14" Type="http://schemas.openxmlformats.org/officeDocument/2006/relationships/hyperlink" Target="https://diario.tcees.tc.br/Noticia/BaixarDocumento?idDocumento=430652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EES\NJS\Informativo\Modelo%20-%20Informativ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0918-83F8-42B1-8944-8E67874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- Informativo.dotx</Template>
  <TotalTime>1</TotalTime>
  <Pages>14</Pages>
  <Words>6149</Words>
  <Characters>33209</Characters>
  <Application>Microsoft Office Word</Application>
  <DocSecurity>0</DocSecurity>
  <Lines>276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/>
      <vt:lpstr>1. LICITAÇÃO. PLATAFORMA DE LICITAÇÃO. TAXA. ESTUDO TÉCNICO PRELIMINAR. A Admini</vt:lpstr>
      <vt:lpstr>3. PESSOAL. REVISÃO GERAL ANUAL. ÍNDICE. COMPENSAÇÃO. REAJUSTE. Lei que conceda </vt:lpstr>
      <vt:lpstr>4. PESSOAL. GRATIFICAÇÃO. DISCRICIONARIEDADE. PRINCÍPIO DA LEGALIDADE. É inconst</vt:lpstr>
      <vt:lpstr>5. PROCESSUAL. CONSULTA. ADMISSIBILIDADE. PARECER. DISPOSITIVO LEGAL. COMPETÊNCI</vt:lpstr>
      <vt:lpstr>6. PROCESSUAL. COMUNICAÇÃO. CITAÇÃO VÁLIDA. É válida a citação assinada por memb</vt:lpstr>
      <vt:lpstr>7. PROCESSUAL. INCIDENTE DE INCONSTITUCIONALIDADE. DELIBERAÇÃO. PRECEDENTE. Embo</vt:lpstr>
      <vt:lpstr>8. RESPONSABILIDADE. CONTRATAÇÃO. SUPERFATURAMENTO. RESSARCIMENTO AO ERÁRIO. PRE</vt:lpstr>
      <vt:lpstr>    9. FINANÇAS PÚBLICAS. RECEITA PÚBLICA. ITBI. FISCALIZAÇÃO. VALOR VENAL. O municí</vt:lpstr>
      <vt:lpstr>    10. PREVIDÊNCIA. APOSENTADORIA. ADICIONAL DE INSALUBRIDADE. O adicional de insal</vt:lpstr>
      <vt:lpstr>    11. PESSOAL. EDITAL DE CONCURSO PÚBLICO. ALTERAÇÃO. POSSIBILIDADE. É possível a </vt:lpstr>
      <vt:lpstr>    12. PESSOAL. EDITAL DE CONCURSO PÚBLICO. RESERVA DE VAGA. PESSOA COM DEFIFICÊNCI</vt:lpstr>
    </vt:vector>
  </TitlesOfParts>
  <Company>TCE-ES</Company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TCE-ES</dc:creator>
  <cp:keywords/>
  <dc:description/>
  <cp:lastModifiedBy>Murilo Costa Moreira</cp:lastModifiedBy>
  <cp:revision>3</cp:revision>
  <cp:lastPrinted>2025-03-26T15:20:00Z</cp:lastPrinted>
  <dcterms:created xsi:type="dcterms:W3CDTF">2025-03-26T15:19:00Z</dcterms:created>
  <dcterms:modified xsi:type="dcterms:W3CDTF">2025-03-26T15:20:00Z</dcterms:modified>
</cp:coreProperties>
</file>